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17007" w14:textId="77777777" w:rsidR="006C170B" w:rsidRPr="00327997" w:rsidRDefault="006C170B" w:rsidP="006C170B">
      <w:pPr>
        <w:pStyle w:val="3GPPHeader"/>
        <w:rPr>
          <w:highlight w:val="yellow"/>
        </w:rPr>
      </w:pPr>
      <w:r w:rsidRPr="00DE7B21">
        <w:t>3GPP TSG RAN WG1 Meeting #89</w:t>
      </w:r>
      <w:r w:rsidRPr="00327997">
        <w:tab/>
      </w:r>
      <w:r w:rsidRPr="002E4D85">
        <w:t>R1-1707067</w:t>
      </w:r>
    </w:p>
    <w:p w14:paraId="68D3A238" w14:textId="77777777" w:rsidR="006C170B" w:rsidRDefault="006C170B" w:rsidP="006C170B">
      <w:pPr>
        <w:pStyle w:val="3GPPHeader"/>
      </w:pPr>
      <w:r w:rsidRPr="00DE7B21">
        <w:t>Hangzhou, P.R. China 15th – 19th May 2017</w:t>
      </w:r>
    </w:p>
    <w:p w14:paraId="1A032AD8" w14:textId="77777777" w:rsidR="006C170B" w:rsidRPr="00CE0424" w:rsidRDefault="006C170B" w:rsidP="006C170B">
      <w:pPr>
        <w:pStyle w:val="3GPPHeader"/>
      </w:pPr>
    </w:p>
    <w:p w14:paraId="068F548C" w14:textId="77777777" w:rsidR="006C170B" w:rsidRPr="00327997" w:rsidRDefault="006C170B" w:rsidP="006C170B">
      <w:pPr>
        <w:pStyle w:val="3GPPHeader"/>
      </w:pPr>
      <w:r w:rsidRPr="00327997">
        <w:t>Source:</w:t>
      </w:r>
      <w:r w:rsidRPr="00327997">
        <w:tab/>
        <w:t>Ericsson</w:t>
      </w:r>
    </w:p>
    <w:p w14:paraId="43AB3B8D" w14:textId="77777777" w:rsidR="006C170B" w:rsidRPr="00327997" w:rsidRDefault="006C170B" w:rsidP="006C170B">
      <w:pPr>
        <w:pStyle w:val="3GPPHeader"/>
      </w:pPr>
      <w:r w:rsidRPr="00327997">
        <w:t>Title:</w:t>
      </w:r>
      <w:r w:rsidRPr="00327997">
        <w:tab/>
      </w:r>
      <w:r w:rsidRPr="002E4D85">
        <w:t>Bit Ordering for Circular Buffer of LDPC Codes</w:t>
      </w:r>
    </w:p>
    <w:p w14:paraId="1B186F02" w14:textId="77777777" w:rsidR="006C170B" w:rsidRPr="00327997" w:rsidRDefault="006C170B" w:rsidP="006C170B">
      <w:pPr>
        <w:pStyle w:val="3GPPHeader"/>
      </w:pPr>
      <w:r w:rsidRPr="00327997">
        <w:t>Agenda Item:</w:t>
      </w:r>
      <w:r w:rsidRPr="00327997">
        <w:tab/>
      </w:r>
      <w:r w:rsidRPr="002E4D85">
        <w:t>7.1.4.1.1.3</w:t>
      </w:r>
    </w:p>
    <w:p w14:paraId="36030964" w14:textId="6348A6E5" w:rsidR="00625B29" w:rsidRPr="00CE0424" w:rsidRDefault="006C170B" w:rsidP="006C170B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2D8C18B2" w14:textId="77777777" w:rsidR="00625B29" w:rsidRPr="00CE0424" w:rsidRDefault="00625B29" w:rsidP="00625B29">
      <w:pPr>
        <w:pStyle w:val="Heading1"/>
      </w:pPr>
      <w:r w:rsidRPr="00CE0424">
        <w:t>Introduction</w:t>
      </w:r>
    </w:p>
    <w:p w14:paraId="729C368F" w14:textId="1FAC0DF2" w:rsidR="00625B29" w:rsidRDefault="006C170B" w:rsidP="00625B29">
      <w:pPr>
        <w:pStyle w:val="BodyText"/>
      </w:pPr>
      <w:r>
        <w:t>In RAN1#8</w:t>
      </w:r>
      <w:r w:rsidR="00DE46BA">
        <w:t>7</w:t>
      </w:r>
      <w:r>
        <w:t xml:space="preserve">, the following agreement </w:t>
      </w:r>
      <w:r w:rsidR="00DE46BA">
        <w:t xml:space="preserve">on LDPC code design </w:t>
      </w:r>
      <w:r>
        <w:t>was reached</w:t>
      </w:r>
      <w:r w:rsidR="00DE46BA">
        <w:t xml:space="preserve"> </w:t>
      </w:r>
      <w:r w:rsidR="00DE46BA">
        <w:fldChar w:fldCharType="begin"/>
      </w:r>
      <w:r w:rsidR="00DE46BA">
        <w:instrText xml:space="preserve"> REF _Ref481750414 \r \h </w:instrText>
      </w:r>
      <w:r w:rsidR="00DE46BA">
        <w:fldChar w:fldCharType="separate"/>
      </w:r>
      <w:r w:rsidR="00DE46BA">
        <w:t>[1]</w:t>
      </w:r>
      <w:r w:rsidR="00DE46BA">
        <w:fldChar w:fldCharType="end"/>
      </w:r>
      <w:r>
        <w:t>:</w:t>
      </w:r>
    </w:p>
    <w:p w14:paraId="0A46544D" w14:textId="77777777" w:rsidR="00DE46BA" w:rsidRPr="00B34BC2" w:rsidRDefault="00DE46BA" w:rsidP="00DE46BA">
      <w:pPr>
        <w:rPr>
          <w:rFonts w:eastAsia="MS Mincho" w:cs="Arial"/>
          <w:b/>
          <w:highlight w:val="green"/>
          <w:u w:val="single"/>
          <w:lang w:val="en-US" w:eastAsia="ja-JP"/>
        </w:rPr>
      </w:pPr>
      <w:r w:rsidRPr="00B34BC2">
        <w:rPr>
          <w:rFonts w:eastAsia="MS Mincho" w:cs="Arial"/>
          <w:b/>
          <w:highlight w:val="green"/>
          <w:u w:val="single"/>
          <w:lang w:val="en-US" w:eastAsia="ja-JP"/>
        </w:rPr>
        <w:t>Agreements:</w:t>
      </w:r>
    </w:p>
    <w:p w14:paraId="471CC3C5" w14:textId="77777777" w:rsidR="00DE46BA" w:rsidRPr="00B34BC2" w:rsidRDefault="00DE46BA" w:rsidP="00DE46BA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 xml:space="preserve">Code extension of a parity-check matrix is used for IR HARQ/rate-matching support </w:t>
      </w:r>
    </w:p>
    <w:p w14:paraId="358F4671" w14:textId="77777777" w:rsidR="00DE46BA" w:rsidRPr="00B34BC2" w:rsidRDefault="00DE46BA" w:rsidP="00DE46B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Use lower-triangular extension, which includes diagonal-extension as a special case</w:t>
      </w:r>
    </w:p>
    <w:p w14:paraId="548E29C7" w14:textId="77777777" w:rsidR="00DE46BA" w:rsidRPr="00B34BC2" w:rsidRDefault="00DE46BA" w:rsidP="00DE46BA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For the QC-LDPC design, the non-zero sub-blocks have circulant weight &lt;=2</w:t>
      </w:r>
    </w:p>
    <w:p w14:paraId="6CE59121" w14:textId="77777777" w:rsidR="00DE46BA" w:rsidRPr="00B34BC2" w:rsidRDefault="00DE46BA" w:rsidP="00DE46B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Circulant weight is the number of superimposed circularly shifted Z</w:t>
      </w:r>
      <w:r w:rsidRPr="00B34BC2">
        <w:rPr>
          <w:rFonts w:eastAsia="MS Mincho" w:cs="Arial"/>
          <w:lang w:val="en-US" w:eastAsia="ja-JP"/>
        </w:rPr>
        <w:sym w:font="Symbol" w:char="F0B4"/>
      </w:r>
      <w:r w:rsidRPr="00B34BC2">
        <w:rPr>
          <w:rFonts w:eastAsia="MS Mincho" w:cs="Arial"/>
          <w:lang w:val="en-US" w:eastAsia="ja-JP"/>
        </w:rPr>
        <w:t>Z identity matrices</w:t>
      </w:r>
    </w:p>
    <w:p w14:paraId="3DFD9706" w14:textId="77777777" w:rsidR="00DE46BA" w:rsidRPr="00B34BC2" w:rsidRDefault="00DE46BA" w:rsidP="00DE46BA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In parity check matrix design, the highest code rate (R</w:t>
      </w:r>
      <w:r w:rsidRPr="00B34BC2">
        <w:rPr>
          <w:rFonts w:eastAsia="MS Mincho" w:cs="Arial"/>
          <w:vertAlign w:val="subscript"/>
          <w:lang w:val="en-US" w:eastAsia="ja-JP"/>
        </w:rPr>
        <w:t xml:space="preserve">max,j </w:t>
      </w:r>
      <w:r w:rsidRPr="00B34BC2">
        <w:rPr>
          <w:rFonts w:eastAsia="MS Mincho" w:cs="Arial"/>
          <w:lang w:val="en-US" w:eastAsia="ja-JP"/>
        </w:rPr>
        <w:t xml:space="preserve">) to design j-th H matrix for is </w:t>
      </w:r>
    </w:p>
    <w:p w14:paraId="44979AB8" w14:textId="77777777" w:rsidR="00DE46BA" w:rsidRPr="00B34BC2" w:rsidRDefault="00DE46BA" w:rsidP="00DE46B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R</w:t>
      </w:r>
      <w:r w:rsidRPr="00B34BC2">
        <w:rPr>
          <w:rFonts w:eastAsia="MS Mincho" w:cs="Arial"/>
          <w:vertAlign w:val="subscript"/>
          <w:lang w:val="en-US" w:eastAsia="ja-JP"/>
        </w:rPr>
        <w:t>max,j</w:t>
      </w:r>
      <w:r w:rsidRPr="00B34BC2">
        <w:rPr>
          <w:rFonts w:eastAsia="MS Mincho" w:cs="Arial"/>
          <w:lang w:val="en-US" w:eastAsia="ja-JP"/>
        </w:rPr>
        <w:t xml:space="preserve"> &lt;=8/9</w:t>
      </w:r>
    </w:p>
    <w:p w14:paraId="07176102" w14:textId="77777777" w:rsidR="00DE46BA" w:rsidRPr="00B34BC2" w:rsidRDefault="00DE46BA" w:rsidP="00DE46B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R</w:t>
      </w:r>
      <w:r w:rsidRPr="00B34BC2">
        <w:rPr>
          <w:rFonts w:eastAsia="MS Mincho" w:cs="Arial"/>
          <w:vertAlign w:val="subscript"/>
          <w:lang w:val="en-US" w:eastAsia="ja-JP"/>
        </w:rPr>
        <w:t>max,j</w:t>
      </w:r>
      <w:r w:rsidRPr="00B34BC2">
        <w:rPr>
          <w:rFonts w:eastAsia="MS Mincho" w:cs="Arial"/>
          <w:lang w:val="en-US" w:eastAsia="ja-JP"/>
        </w:rPr>
        <w:t xml:space="preserve"> is the code rate of the j-th H matrix before code extension is applied (0</w:t>
      </w:r>
      <w:r w:rsidRPr="00B34BC2">
        <w:rPr>
          <w:rFonts w:eastAsia="MS Mincho" w:cs="Arial"/>
          <w:lang w:val="en-US" w:eastAsia="ja-JP"/>
        </w:rPr>
        <w:sym w:font="Symbol" w:char="F0A3"/>
      </w:r>
      <w:r w:rsidRPr="00B34BC2">
        <w:rPr>
          <w:rFonts w:eastAsia="MS Mincho" w:cs="Arial"/>
          <w:lang w:val="en-US" w:eastAsia="ja-JP"/>
        </w:rPr>
        <w:t xml:space="preserve"> j&lt; J) </w:t>
      </w:r>
    </w:p>
    <w:p w14:paraId="26F14D3D" w14:textId="77777777" w:rsidR="00DE46BA" w:rsidRPr="00B34BC2" w:rsidRDefault="00DE46BA" w:rsidP="00DE46B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eastAsia="ja-JP"/>
        </w:rPr>
      </w:pPr>
      <w:r w:rsidRPr="00B34BC2">
        <w:rPr>
          <w:rFonts w:eastAsia="MS Mincho" w:cs="Arial"/>
          <w:lang w:val="en-US" w:eastAsia="ja-JP"/>
        </w:rPr>
        <w:t>R</w:t>
      </w:r>
      <w:r w:rsidRPr="00B34BC2">
        <w:rPr>
          <w:rFonts w:eastAsia="MS Mincho" w:cs="Arial"/>
          <w:vertAlign w:val="subscript"/>
          <w:lang w:val="en-US" w:eastAsia="ja-JP"/>
        </w:rPr>
        <w:t>max,j</w:t>
      </w:r>
      <w:r w:rsidRPr="00B34BC2">
        <w:rPr>
          <w:rFonts w:eastAsia="MS Mincho" w:cs="Arial"/>
          <w:lang w:val="en-US" w:eastAsia="ja-JP"/>
        </w:rPr>
        <w:t xml:space="preserve"> is the code rate after accounting for the built-in puncturing, if this is applied in H matrix design</w:t>
      </w:r>
    </w:p>
    <w:p w14:paraId="76AB2896" w14:textId="122CE9E4" w:rsidR="00DE46BA" w:rsidRDefault="00DE46BA" w:rsidP="00DE46BA">
      <w:pPr>
        <w:pStyle w:val="BodyText"/>
      </w:pPr>
      <w:r w:rsidRPr="00B34BC2">
        <w:rPr>
          <w:rFonts w:eastAsia="MS Mincho" w:cs="Arial"/>
          <w:lang w:val="en-US" w:eastAsia="ja-JP"/>
        </w:rPr>
        <w:t>Rate matching to support transmission code rate higher than R</w:t>
      </w:r>
      <w:r w:rsidRPr="00B34BC2">
        <w:rPr>
          <w:rFonts w:eastAsia="MS Mincho" w:cs="Arial"/>
          <w:vertAlign w:val="subscript"/>
          <w:lang w:val="en-US" w:eastAsia="ja-JP"/>
        </w:rPr>
        <w:t>max,j</w:t>
      </w:r>
      <w:r w:rsidRPr="00B34BC2">
        <w:rPr>
          <w:rFonts w:eastAsia="MS Mincho" w:cs="Arial"/>
          <w:lang w:val="en-US" w:eastAsia="ja-JP"/>
        </w:rPr>
        <w:t xml:space="preserve"> is not precluded</w:t>
      </w:r>
    </w:p>
    <w:p w14:paraId="73B64B32" w14:textId="4D31BABC" w:rsidR="006C170B" w:rsidRDefault="006C170B" w:rsidP="00625B29">
      <w:pPr>
        <w:pStyle w:val="BodyText"/>
      </w:pPr>
    </w:p>
    <w:p w14:paraId="07D58F99" w14:textId="1EFD11B4" w:rsidR="00DE46BA" w:rsidRDefault="00813156" w:rsidP="00625B29">
      <w:pPr>
        <w:pStyle w:val="BodyText"/>
      </w:pPr>
      <w:r>
        <w:t>Furthermore, t</w:t>
      </w:r>
      <w:r w:rsidR="00DE46BA">
        <w:t xml:space="preserve">he structure of the parity-check matrix </w:t>
      </w:r>
      <w:r>
        <w:t>was agreed on with a wo</w:t>
      </w:r>
      <w:r w:rsidR="003D6327">
        <w:t>rking assumption in the NR Adhoc</w:t>
      </w:r>
      <w:r>
        <w:t xml:space="preserve"> </w:t>
      </w:r>
      <w:r w:rsidR="0088624A">
        <w:fldChar w:fldCharType="begin"/>
      </w:r>
      <w:r w:rsidR="0088624A">
        <w:instrText xml:space="preserve"> REF _Ref481751075 \r \h </w:instrText>
      </w:r>
      <w:r w:rsidR="0088624A">
        <w:fldChar w:fldCharType="separate"/>
      </w:r>
      <w:r w:rsidR="0088624A">
        <w:t>[2]</w:t>
      </w:r>
      <w:r w:rsidR="0088624A">
        <w:fldChar w:fldCharType="end"/>
      </w:r>
      <w:r w:rsidR="0088624A">
        <w:t xml:space="preserve"> </w:t>
      </w:r>
      <w:r>
        <w:t>and in RAN1#88</w:t>
      </w:r>
      <w:r w:rsidR="0093310F">
        <w:t xml:space="preserve"> </w:t>
      </w:r>
      <w:r w:rsidR="0093310F">
        <w:fldChar w:fldCharType="begin"/>
      </w:r>
      <w:r w:rsidR="0093310F">
        <w:instrText xml:space="preserve"> REF _Ref481751193 \r \h </w:instrText>
      </w:r>
      <w:r w:rsidR="0093310F">
        <w:fldChar w:fldCharType="separate"/>
      </w:r>
      <w:r w:rsidR="0093310F">
        <w:t>[3]</w:t>
      </w:r>
      <w:r w:rsidR="0093310F">
        <w:fldChar w:fldCharType="end"/>
      </w:r>
      <w:r w:rsidR="003D6327">
        <w:t>:</w:t>
      </w:r>
    </w:p>
    <w:p w14:paraId="4E4FBDA5" w14:textId="77E83BED" w:rsidR="003D6327" w:rsidRDefault="003D6327" w:rsidP="00625B29">
      <w:pPr>
        <w:pStyle w:val="BodyText"/>
      </w:pPr>
    </w:p>
    <w:p w14:paraId="02327805" w14:textId="77777777" w:rsidR="003D6327" w:rsidRPr="00AB3B70" w:rsidRDefault="003D6327" w:rsidP="003D6327">
      <w:pPr>
        <w:rPr>
          <w:rFonts w:ascii="Times New Roman" w:eastAsia="MS Mincho" w:hAnsi="Times New Roman"/>
          <w:b/>
          <w:highlight w:val="darkYellow"/>
          <w:u w:val="single"/>
          <w:lang w:eastAsia="ja-JP"/>
        </w:rPr>
      </w:pPr>
      <w:r w:rsidRPr="00AB3B70">
        <w:rPr>
          <w:rFonts w:ascii="Times New Roman" w:eastAsia="MS Mincho" w:hAnsi="Times New Roman"/>
          <w:b/>
          <w:highlight w:val="darkYellow"/>
          <w:u w:val="single"/>
          <w:lang w:eastAsia="ja-JP"/>
        </w:rPr>
        <w:t xml:space="preserve">Working Assumption: </w:t>
      </w:r>
    </w:p>
    <w:p w14:paraId="6532FB2E" w14:textId="77777777" w:rsidR="003D6327" w:rsidRPr="00F52B0D" w:rsidRDefault="003D6327" w:rsidP="003D6327">
      <w:pPr>
        <w:numPr>
          <w:ilvl w:val="0"/>
          <w:numId w:val="25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val="en-US" w:eastAsia="ja-JP"/>
        </w:rPr>
        <w:t xml:space="preserve">For at least one base graph, </w:t>
      </w:r>
    </w:p>
    <w:p w14:paraId="6FDB09B9" w14:textId="77777777" w:rsidR="003D6327" w:rsidRPr="00E94EE7" w:rsidRDefault="003D6327" w:rsidP="003D6327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val="en-US" w:eastAsia="ja-JP"/>
        </w:rPr>
        <w:t>t</w:t>
      </w:r>
      <w:r w:rsidRPr="00E94EE7">
        <w:rPr>
          <w:rFonts w:ascii="Times New Roman" w:eastAsia="MS Mincho" w:hAnsi="Times New Roman"/>
          <w:lang w:val="en-US" w:eastAsia="ja-JP"/>
        </w:rPr>
        <w:t>he parity check matrix consist</w:t>
      </w:r>
      <w:r>
        <w:rPr>
          <w:rFonts w:ascii="Times New Roman" w:eastAsia="MS Mincho" w:hAnsi="Times New Roman"/>
          <w:lang w:val="en-US" w:eastAsia="ja-JP"/>
        </w:rPr>
        <w:t>s of</w:t>
      </w:r>
      <w:r w:rsidRPr="00E94EE7">
        <w:rPr>
          <w:rFonts w:ascii="Times New Roman" w:eastAsia="MS Mincho" w:hAnsi="Times New Roman"/>
          <w:lang w:val="en-US" w:eastAsia="ja-JP"/>
        </w:rPr>
        <w:t xml:space="preserve"> five sub-matrices (A, B, C, D, E)</w:t>
      </w:r>
    </w:p>
    <w:p w14:paraId="4110F245" w14:textId="77777777" w:rsidR="003D6327" w:rsidRPr="00E94EE7" w:rsidRDefault="003D6327" w:rsidP="003D6327">
      <w:pPr>
        <w:ind w:left="720" w:firstLine="720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noProof/>
          <w:lang w:val="en-US"/>
        </w:rPr>
        <mc:AlternateContent>
          <mc:Choice Requires="wpg">
            <w:drawing>
              <wp:inline distT="0" distB="0" distL="0" distR="0" wp14:anchorId="100166E1" wp14:editId="20D48821">
                <wp:extent cx="1068705" cy="645795"/>
                <wp:effectExtent l="15240" t="13335" r="11430" b="7620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8705" cy="645795"/>
                          <a:chOff x="0" y="0"/>
                          <a:chExt cx="2943275" cy="1937967"/>
                        </a:xfrm>
                      </wpg:grpSpPr>
                      <wps:wsp>
                        <wps:cNvPr id="20" name="직사각형 11"/>
                        <wps:cNvSpPr>
                          <a:spLocks noChangeArrowheads="1"/>
                        </wps:cNvSpPr>
                        <wps:spPr bwMode="auto">
                          <a:xfrm>
                            <a:off x="497" y="0"/>
                            <a:ext cx="925515" cy="720079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9E0C2B" w14:textId="77777777" w:rsidR="003D6327" w:rsidRPr="00E94EE7" w:rsidRDefault="003D6327" w:rsidP="003D632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  <w:p w14:paraId="0C4599E7" w14:textId="77777777" w:rsidR="003D6327" w:rsidRDefault="003D6327" w:rsidP="003D6327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직사각형 12"/>
                        <wps:cNvSpPr>
                          <a:spLocks noChangeArrowheads="1"/>
                        </wps:cNvSpPr>
                        <wps:spPr bwMode="auto">
                          <a:xfrm>
                            <a:off x="1656681" y="0"/>
                            <a:ext cx="1286594" cy="720079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C684850" w14:textId="77777777" w:rsidR="003D6327" w:rsidRPr="00E94EE7" w:rsidRDefault="003D6327" w:rsidP="003D632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직사각형 13"/>
                        <wps:cNvSpPr>
                          <a:spLocks noChangeArrowheads="1"/>
                        </wps:cNvSpPr>
                        <wps:spPr bwMode="auto">
                          <a:xfrm>
                            <a:off x="0" y="720080"/>
                            <a:ext cx="1656184" cy="1217887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9A3A3F" w14:textId="77777777" w:rsidR="003D6327" w:rsidRPr="00E94EE7" w:rsidRDefault="003D6327" w:rsidP="003D632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직사각형 14"/>
                        <wps:cNvSpPr>
                          <a:spLocks noChangeArrowheads="1"/>
                        </wps:cNvSpPr>
                        <wps:spPr bwMode="auto">
                          <a:xfrm>
                            <a:off x="1656681" y="720079"/>
                            <a:ext cx="1286594" cy="1217888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95266CF" w14:textId="77777777" w:rsidR="003D6327" w:rsidRPr="00E94EE7" w:rsidRDefault="003D6327" w:rsidP="003D632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직사각형 15"/>
                        <wps:cNvSpPr>
                          <a:spLocks noChangeArrowheads="1"/>
                        </wps:cNvSpPr>
                        <wps:spPr bwMode="auto">
                          <a:xfrm>
                            <a:off x="926012" y="0"/>
                            <a:ext cx="730669" cy="720079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7C2C4E" w14:textId="77777777" w:rsidR="003D6327" w:rsidRPr="00E94EE7" w:rsidRDefault="003D6327" w:rsidP="003D632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0166E1" id="Group 19" o:spid="_x0000_s1026" style="width:84.15pt;height:50.85pt;mso-position-horizontal-relative:char;mso-position-vertical-relative:line" coordsize="29432,19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">
                <v:rect id="직사각형 11" o:spid="_x0000_s1027" style="position:absolute;left:4;width:9256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" filled="f" strokecolor="#41719c" strokeweight="1pt">
                  <v:textbox>
                    <w:txbxContent>
                      <w:p w14:paraId="2A9E0C2B" w14:textId="77777777" w:rsidR="003D6327" w:rsidRPr="00E94EE7" w:rsidRDefault="003D6327" w:rsidP="003D632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A</w:t>
                        </w:r>
                      </w:p>
                      <w:p w14:paraId="0C4599E7" w14:textId="77777777" w:rsidR="003D6327" w:rsidRDefault="003D6327" w:rsidP="003D6327"/>
                    </w:txbxContent>
                  </v:textbox>
                </v:rect>
                <v:rect id="직사각형 12" o:spid="_x0000_s1028" style="position:absolute;left:16566;width:12866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" filled="f" strokecolor="#41719c" strokeweight="1pt">
                  <v:textbox>
                    <w:txbxContent>
                      <w:p w14:paraId="2C684850" w14:textId="77777777" w:rsidR="003D6327" w:rsidRPr="00E94EE7" w:rsidRDefault="003D6327" w:rsidP="003D632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rect>
                <v:rect id="직사각형 13" o:spid="_x0000_s1029" style="position:absolute;top:7200;width:16561;height:121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" filled="f" strokecolor="#41719c" strokeweight="1pt">
                  <v:textbox>
                    <w:txbxContent>
                      <w:p w14:paraId="359A3A3F" w14:textId="77777777" w:rsidR="003D6327" w:rsidRPr="00E94EE7" w:rsidRDefault="003D6327" w:rsidP="003D632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rect>
                <v:rect id="직사각형 14" o:spid="_x0000_s1030" style="position:absolute;left:16566;top:7200;width:12866;height:121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" filled="f" strokecolor="#41719c" strokeweight="1pt">
                  <v:textbox>
                    <w:txbxContent>
                      <w:p w14:paraId="795266CF" w14:textId="77777777" w:rsidR="003D6327" w:rsidRPr="00E94EE7" w:rsidRDefault="003D6327" w:rsidP="003D632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rect>
                <v:rect id="직사각형 15" o:spid="_x0000_s1031" style="position:absolute;left:9260;width:7306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" filled="f" strokecolor="#41719c" strokeweight="1pt">
                  <v:textbox>
                    <w:txbxContent>
                      <w:p w14:paraId="337C2C4E" w14:textId="77777777" w:rsidR="003D6327" w:rsidRPr="00E94EE7" w:rsidRDefault="003D6327" w:rsidP="003D632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22B28D8" w14:textId="77777777" w:rsidR="003D6327" w:rsidRPr="00057284" w:rsidRDefault="003D6327" w:rsidP="003D6327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A may contain systematic and parity bits</w:t>
      </w:r>
    </w:p>
    <w:p w14:paraId="0CCAAFE7" w14:textId="77777777" w:rsidR="003D6327" w:rsidRDefault="003D6327" w:rsidP="003D6327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94EE7">
        <w:rPr>
          <w:rFonts w:ascii="Times New Roman" w:eastAsia="MS Mincho" w:hAnsi="Times New Roman"/>
          <w:lang w:val="en-US" w:eastAsia="ja-JP"/>
        </w:rPr>
        <w:t>B:</w:t>
      </w:r>
      <w:r w:rsidRPr="00E94EE7">
        <w:rPr>
          <w:rFonts w:ascii="Times New Roman" w:eastAsia="MS Mincho" w:hAnsi="Times New Roman"/>
          <w:lang w:eastAsia="ja-JP"/>
        </w:rPr>
        <w:t xml:space="preserve"> </w:t>
      </w:r>
    </w:p>
    <w:p w14:paraId="56CAE4B1" w14:textId="77777777" w:rsidR="003D6327" w:rsidRDefault="003D6327" w:rsidP="003D6327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B is not necessarily square</w:t>
      </w:r>
    </w:p>
    <w:p w14:paraId="40B447D9" w14:textId="77777777" w:rsidR="003D6327" w:rsidRPr="00057284" w:rsidRDefault="003D6327" w:rsidP="003D6327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val="en-US" w:eastAsia="ja-JP"/>
        </w:rPr>
        <w:t>One of the columns has</w:t>
      </w:r>
      <w:r w:rsidRPr="00E94EE7">
        <w:rPr>
          <w:rFonts w:ascii="Times New Roman" w:eastAsia="MS Mincho" w:hAnsi="Times New Roman"/>
          <w:lang w:val="en-US" w:eastAsia="ja-JP"/>
        </w:rPr>
        <w:t xml:space="preserve"> weight-three </w:t>
      </w:r>
    </w:p>
    <w:p w14:paraId="5F3518BC" w14:textId="77777777" w:rsidR="003D6327" w:rsidRPr="00BC05F4" w:rsidRDefault="003D6327" w:rsidP="003D6327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val="en-US" w:eastAsia="ja-JP"/>
        </w:rPr>
        <w:t>The</w:t>
      </w:r>
      <w:r w:rsidRPr="00E94EE7">
        <w:rPr>
          <w:rFonts w:ascii="Times New Roman" w:eastAsia="MS Mincho" w:hAnsi="Times New Roman"/>
          <w:lang w:val="en-US" w:eastAsia="ja-JP"/>
        </w:rPr>
        <w:t xml:space="preserve"> columns of B </w:t>
      </w:r>
      <w:r>
        <w:rPr>
          <w:rFonts w:ascii="Times New Roman" w:eastAsia="MS Mincho" w:hAnsi="Times New Roman"/>
          <w:lang w:val="en-US" w:eastAsia="ja-JP"/>
        </w:rPr>
        <w:t xml:space="preserve">after the weight-three column </w:t>
      </w:r>
      <w:r w:rsidRPr="00E94EE7">
        <w:rPr>
          <w:rFonts w:ascii="Times New Roman" w:eastAsia="MS Mincho" w:hAnsi="Times New Roman"/>
          <w:lang w:val="en-US" w:eastAsia="ja-JP"/>
        </w:rPr>
        <w:t>have a dual diagonal structure</w:t>
      </w:r>
      <w:r>
        <w:rPr>
          <w:rFonts w:ascii="Times New Roman" w:eastAsia="MS Mincho" w:hAnsi="Times New Roman"/>
          <w:lang w:val="en-US" w:eastAsia="ja-JP"/>
        </w:rPr>
        <w:t>, e.g.:</w:t>
      </w:r>
    </w:p>
    <w:p w14:paraId="1302DA63" w14:textId="77777777" w:rsidR="003D6327" w:rsidRDefault="003D6327" w:rsidP="0023380A">
      <w:pPr>
        <w:ind w:firstLine="720"/>
        <w:jc w:val="center"/>
        <w:rPr>
          <w:rFonts w:ascii="Times New Roman" w:eastAsia="MS Mincho" w:hAnsi="Times New Roman"/>
          <w:lang w:eastAsia="ja-JP"/>
        </w:rPr>
      </w:pPr>
      <w:r w:rsidRPr="00BC05F4">
        <w:rPr>
          <w:rFonts w:ascii="Times New Roman" w:eastAsia="MS Mincho" w:hAnsi="Times New Roman"/>
          <w:noProof/>
          <w:lang w:val="en-US"/>
        </w:rPr>
        <w:drawing>
          <wp:inline distT="0" distB="0" distL="0" distR="0" wp14:anchorId="14770AEB" wp14:editId="35EAA44D">
            <wp:extent cx="1228090" cy="9417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F80C5A1" w14:textId="77777777" w:rsidR="003D6327" w:rsidRPr="00854F65" w:rsidRDefault="003D6327" w:rsidP="003D6327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854F65">
        <w:rPr>
          <w:rFonts w:ascii="Times New Roman" w:eastAsia="MS Mincho" w:hAnsi="Times New Roman"/>
          <w:lang w:val="en-US" w:eastAsia="ja-JP"/>
        </w:rPr>
        <w:t>C is a zero matrix</w:t>
      </w:r>
    </w:p>
    <w:p w14:paraId="3A2A9E23" w14:textId="77777777" w:rsidR="003D6327" w:rsidRDefault="003D6327" w:rsidP="003D6327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854F65">
        <w:rPr>
          <w:rFonts w:ascii="Times New Roman" w:eastAsia="MS Mincho" w:hAnsi="Times New Roman"/>
          <w:lang w:val="en-US" w:eastAsia="ja-JP"/>
        </w:rPr>
        <w:t>E is an identity matrix for the above base graph</w:t>
      </w:r>
    </w:p>
    <w:p w14:paraId="1403460D" w14:textId="1A8F9272" w:rsidR="003D6327" w:rsidRDefault="003D6327" w:rsidP="00625B29">
      <w:pPr>
        <w:pStyle w:val="BodyText"/>
      </w:pPr>
    </w:p>
    <w:p w14:paraId="57F78B7C" w14:textId="77777777" w:rsidR="003D6327" w:rsidRPr="00662D9D" w:rsidRDefault="003D6327" w:rsidP="003D6327">
      <w:pPr>
        <w:rPr>
          <w:rFonts w:eastAsia="MS Mincho"/>
          <w:b/>
          <w:highlight w:val="green"/>
          <w:u w:val="single"/>
          <w:lang w:eastAsia="ja-JP"/>
        </w:rPr>
      </w:pPr>
      <w:r w:rsidRPr="00662D9D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4EAEF4A1" w14:textId="77777777" w:rsidR="003D6327" w:rsidRPr="00662D9D" w:rsidRDefault="003D6327" w:rsidP="003D6327">
      <w:pPr>
        <w:rPr>
          <w:rFonts w:eastAsia="MS Mincho"/>
          <w:b/>
          <w:lang w:eastAsia="ja-JP"/>
        </w:rPr>
      </w:pPr>
      <w:r w:rsidRPr="00662D9D">
        <w:rPr>
          <w:rFonts w:eastAsia="MS Mincho"/>
          <w:b/>
          <w:lang w:eastAsia="ja-JP"/>
        </w:rPr>
        <w:t xml:space="preserve">Working Assumption from Jan adhoc is confirmed with modifications as follows: </w:t>
      </w:r>
    </w:p>
    <w:p w14:paraId="28EBA380" w14:textId="77777777" w:rsidR="003D6327" w:rsidRPr="00662D9D" w:rsidRDefault="003D6327" w:rsidP="003D6327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A corresponds to systematic bits</w:t>
      </w:r>
    </w:p>
    <w:p w14:paraId="72EC2543" w14:textId="77777777" w:rsidR="003D6327" w:rsidRPr="00662D9D" w:rsidRDefault="003D6327" w:rsidP="003D6327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B is square and corresponds to parity bits</w:t>
      </w:r>
    </w:p>
    <w:p w14:paraId="685E6B48" w14:textId="77777777" w:rsidR="003D6327" w:rsidRPr="00662D9D" w:rsidRDefault="003D6327" w:rsidP="003D6327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The first or last column may be weight 1</w:t>
      </w:r>
    </w:p>
    <w:p w14:paraId="09469163" w14:textId="77777777" w:rsidR="003D6327" w:rsidRPr="00662D9D" w:rsidRDefault="003D6327" w:rsidP="003D6327">
      <w:pPr>
        <w:numPr>
          <w:ilvl w:val="2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The non-zero value is in the last row and this row is weight 1 in B</w:t>
      </w:r>
    </w:p>
    <w:p w14:paraId="7344297A" w14:textId="77777777" w:rsidR="003D6327" w:rsidRPr="00662D9D" w:rsidRDefault="003D6327" w:rsidP="003D6327">
      <w:pPr>
        <w:numPr>
          <w:ilvl w:val="2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If there is a weight 1 column, then the remaining columns contain a square matrix such that</w:t>
      </w:r>
      <w:r>
        <w:rPr>
          <w:rFonts w:eastAsia="MS Mincho"/>
          <w:lang w:val="en-US" w:eastAsia="ja-JP"/>
        </w:rPr>
        <w:t>:</w:t>
      </w:r>
    </w:p>
    <w:p w14:paraId="18F81519" w14:textId="77777777" w:rsidR="003D6327" w:rsidRPr="00662D9D" w:rsidRDefault="003D6327" w:rsidP="003D6327">
      <w:pPr>
        <w:numPr>
          <w:ilvl w:val="3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First column has weight three</w:t>
      </w:r>
    </w:p>
    <w:p w14:paraId="004E2997" w14:textId="77777777" w:rsidR="003D6327" w:rsidRPr="00662D9D" w:rsidRDefault="003D6327" w:rsidP="003D6327">
      <w:pPr>
        <w:numPr>
          <w:ilvl w:val="3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The columns after the weight three column have a dual diagonal structure (i.e., main diagonal and off diagonal)</w:t>
      </w:r>
    </w:p>
    <w:p w14:paraId="519E4099" w14:textId="77777777" w:rsidR="003D6327" w:rsidRPr="00662D9D" w:rsidRDefault="003D6327" w:rsidP="003D6327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I</w:t>
      </w:r>
      <w:r w:rsidRPr="00662D9D">
        <w:rPr>
          <w:rFonts w:eastAsia="MS Mincho"/>
          <w:lang w:val="en-US" w:eastAsia="ja-JP"/>
        </w:rPr>
        <w:t>f there is no weight 1 column</w:t>
      </w:r>
    </w:p>
    <w:p w14:paraId="3F211702" w14:textId="77777777" w:rsidR="003D6327" w:rsidRPr="004A53AD" w:rsidRDefault="003D6327" w:rsidP="003D6327">
      <w:pPr>
        <w:numPr>
          <w:ilvl w:val="2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 xml:space="preserve">B consists of only </w:t>
      </w:r>
      <w:r>
        <w:rPr>
          <w:rFonts w:eastAsia="MS Mincho"/>
          <w:lang w:val="en-US" w:eastAsia="ja-JP"/>
        </w:rPr>
        <w:t>a square matrix such that:</w:t>
      </w:r>
    </w:p>
    <w:p w14:paraId="737C7F64" w14:textId="77777777" w:rsidR="003D6327" w:rsidRPr="00662D9D" w:rsidRDefault="003D6327" w:rsidP="003D6327">
      <w:pPr>
        <w:numPr>
          <w:ilvl w:val="3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First column has weight three</w:t>
      </w:r>
    </w:p>
    <w:p w14:paraId="0A300D1A" w14:textId="77777777" w:rsidR="003D6327" w:rsidRPr="004A53AD" w:rsidRDefault="003D6327" w:rsidP="003D6327">
      <w:pPr>
        <w:numPr>
          <w:ilvl w:val="3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62D9D">
        <w:rPr>
          <w:rFonts w:eastAsia="MS Mincho"/>
          <w:lang w:val="en-US" w:eastAsia="ja-JP"/>
        </w:rPr>
        <w:t>The columns after the weight three column have a dual diagonal structure (i.e., main diagonal and off diagonal)</w:t>
      </w:r>
    </w:p>
    <w:p w14:paraId="6C5EB6BB" w14:textId="4DFBACB5" w:rsidR="00DE46BA" w:rsidRDefault="003D6327" w:rsidP="0023380A">
      <w:pPr>
        <w:pStyle w:val="BodyText"/>
        <w:jc w:val="center"/>
      </w:pPr>
      <w:r>
        <w:rPr>
          <w:rFonts w:eastAsia="MS Mincho"/>
          <w:lang w:eastAsia="ja-JP"/>
        </w:rPr>
        <w:t>E.g.:</w:t>
      </w:r>
      <w:r>
        <w:rPr>
          <w:rFonts w:eastAsia="MS Mincho"/>
          <w:lang w:eastAsia="ja-JP"/>
        </w:rPr>
        <w:br/>
      </w:r>
      <w:r w:rsidRPr="009F21E5">
        <w:rPr>
          <w:noProof/>
          <w:lang w:val="en-US"/>
        </w:rPr>
        <w:drawing>
          <wp:inline distT="0" distB="0" distL="0" distR="0" wp14:anchorId="4B1D80FB" wp14:editId="45EA063C">
            <wp:extent cx="2066925" cy="108585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F677A" w14:textId="77777777" w:rsidR="003D6327" w:rsidRDefault="003D6327" w:rsidP="00625B29">
      <w:pPr>
        <w:pStyle w:val="BodyText"/>
      </w:pPr>
    </w:p>
    <w:p w14:paraId="25807337" w14:textId="16A574D1" w:rsidR="006C170B" w:rsidRPr="00CE0424" w:rsidRDefault="006C170B" w:rsidP="00625B29">
      <w:pPr>
        <w:pStyle w:val="BodyText"/>
      </w:pPr>
      <w:r>
        <w:t xml:space="preserve">In this contribution, </w:t>
      </w:r>
      <w:r w:rsidR="003D6327">
        <w:t>we consider the performance of code rates higher than 8/9, achieved through puncturing of the parity bits in the sub-matrix B described above.</w:t>
      </w:r>
    </w:p>
    <w:p w14:paraId="6DE5FA3E" w14:textId="77777777" w:rsidR="00625B29" w:rsidRPr="00CE0424" w:rsidRDefault="00625B29" w:rsidP="00625B29">
      <w:pPr>
        <w:pStyle w:val="Heading1"/>
      </w:pPr>
      <w:bookmarkStart w:id="0" w:name="_Ref178064866"/>
      <w:r w:rsidRPr="00CE0424">
        <w:t>Discussion</w:t>
      </w:r>
      <w:bookmarkEnd w:id="0"/>
    </w:p>
    <w:p w14:paraId="0E166351" w14:textId="1831CD72" w:rsidR="006C170B" w:rsidRDefault="00E651DC" w:rsidP="00625B29">
      <w:pPr>
        <w:pStyle w:val="BodyText"/>
      </w:pPr>
      <w:r>
        <w:t>Considering the design target of k</w:t>
      </w:r>
      <w:r w:rsidR="0023380A">
        <w:rPr>
          <w:vertAlign w:val="subscript"/>
        </w:rPr>
        <w:t>b</w:t>
      </w:r>
      <w:r>
        <w:rPr>
          <w:vertAlign w:val="subscript"/>
        </w:rPr>
        <w:softHyphen/>
        <w:t xml:space="preserve"> </w:t>
      </w:r>
      <w:r>
        <w:rPr>
          <w:vertAlign w:val="subscript"/>
        </w:rPr>
        <w:softHyphen/>
      </w:r>
      <w:r>
        <w:t>= 22 systematic columns in the LDPC base</w:t>
      </w:r>
      <w:r w:rsidR="003777A2">
        <w:t xml:space="preserve"> graph</w:t>
      </w:r>
      <w:r>
        <w:t xml:space="preserve"> and assuming two punctured systematic </w:t>
      </w:r>
      <w:r w:rsidR="003777A2">
        <w:t>columns, a reasonable design choice is to choose</w:t>
      </w:r>
      <w:r w:rsidR="007B5AEF">
        <w:t xml:space="preserve"> </w:t>
      </w:r>
      <w:r w:rsidR="00B310DF">
        <w:t xml:space="preserve">a dual-diagonal </w:t>
      </w:r>
      <w:r w:rsidR="007B5AEF">
        <w:t>submatrix</w:t>
      </w:r>
      <w:r w:rsidR="00B310DF">
        <w:t xml:space="preserve">, denoted by </w:t>
      </w:r>
      <w:r w:rsidR="003777A2">
        <w:t>B</w:t>
      </w:r>
      <w:r w:rsidR="00B310DF">
        <w:t xml:space="preserve"> in the working assumption above,</w:t>
      </w:r>
      <w:r w:rsidR="003777A2">
        <w:t xml:space="preserve"> to have size </w:t>
      </w:r>
      <w:r w:rsidR="007B5AEF">
        <w:t>4x4</w:t>
      </w:r>
      <w:r w:rsidR="00B310DF">
        <w:t>,</w:t>
      </w:r>
      <w:r w:rsidR="007B5AEF">
        <w:t xml:space="preserve"> </w:t>
      </w:r>
      <w:r w:rsidR="003777A2">
        <w:t xml:space="preserve">5x5 or 6x6. This corresponds to highest code rates of </w:t>
      </w:r>
      <w:r w:rsidR="00CE752E">
        <w:t>22</w:t>
      </w:r>
      <w:r w:rsidR="007B5AEF">
        <w:t>/</w:t>
      </w:r>
      <w:r w:rsidR="00CE752E">
        <w:t>24</w:t>
      </w:r>
      <w:r w:rsidR="007B5AEF">
        <w:t xml:space="preserve"> = </w:t>
      </w:r>
      <w:r w:rsidR="003777A2">
        <w:t>0.</w:t>
      </w:r>
      <w:r w:rsidR="007B5AEF">
        <w:t>917</w:t>
      </w:r>
      <w:r w:rsidR="00B310DF">
        <w:t>,</w:t>
      </w:r>
      <w:r w:rsidR="003777A2">
        <w:t xml:space="preserve"> </w:t>
      </w:r>
      <w:r w:rsidR="007B5AEF">
        <w:t>22/25</w:t>
      </w:r>
      <w:r w:rsidR="00CE752E">
        <w:t>=</w:t>
      </w:r>
      <w:r w:rsidR="003777A2">
        <w:t>0.</w:t>
      </w:r>
      <w:r w:rsidR="007B5AEF">
        <w:t>880</w:t>
      </w:r>
      <w:r w:rsidR="00B310DF">
        <w:t xml:space="preserve"> and 22/26 = 0.846</w:t>
      </w:r>
      <w:r w:rsidR="007B5AEF">
        <w:t xml:space="preserve">, </w:t>
      </w:r>
      <w:r w:rsidR="003777A2">
        <w:t>respectively, without puncturing of parity bits</w:t>
      </w:r>
      <w:r w:rsidR="00B310DF">
        <w:t xml:space="preserve"> in the dual-diagonal part</w:t>
      </w:r>
      <w:r w:rsidR="003777A2">
        <w:t xml:space="preserve">. Thus puncturing of parity bits is likely to be needed to reach </w:t>
      </w:r>
      <w:r w:rsidR="007B5AEF">
        <w:t xml:space="preserve">higher </w:t>
      </w:r>
      <w:r w:rsidR="003777A2">
        <w:t>code rate</w:t>
      </w:r>
      <w:r w:rsidR="007B5AEF">
        <w:t>s</w:t>
      </w:r>
      <w:r w:rsidR="00CE752E">
        <w:t xml:space="preserve"> </w:t>
      </w:r>
      <w:r w:rsidR="00CE752E">
        <w:t>associated with high MCS levels</w:t>
      </w:r>
      <w:r w:rsidR="007B5AEF">
        <w:t>. I</w:t>
      </w:r>
      <w:r w:rsidR="003777A2">
        <w:t>n</w:t>
      </w:r>
      <w:r w:rsidR="004A6F1F">
        <w:t xml:space="preserve"> </w:t>
      </w:r>
      <w:r w:rsidR="004A6F1F">
        <w:fldChar w:fldCharType="begin"/>
      </w:r>
      <w:r w:rsidR="004A6F1F">
        <w:instrText xml:space="preserve"> REF _Ref481753026 \n \h </w:instrText>
      </w:r>
      <w:r w:rsidR="004A6F1F">
        <w:fldChar w:fldCharType="separate"/>
      </w:r>
      <w:r w:rsidR="004A6F1F">
        <w:rPr>
          <w:cs/>
        </w:rPr>
        <w:t>‎</w:t>
      </w:r>
      <w:r w:rsidR="004A6F1F">
        <w:t>[6]</w:t>
      </w:r>
      <w:r w:rsidR="004A6F1F">
        <w:fldChar w:fldCharType="end"/>
      </w:r>
      <w:r w:rsidR="003777A2">
        <w:t xml:space="preserve"> it is shown that it is beneficial for the NR LDPC code to support </w:t>
      </w:r>
      <w:r w:rsidR="00EA181B">
        <w:t>code</w:t>
      </w:r>
      <w:r w:rsidR="003777A2">
        <w:t xml:space="preserve"> rates</w:t>
      </w:r>
      <w:r w:rsidR="00EA181B">
        <w:t xml:space="preserve"> at least as high as R</w:t>
      </w:r>
      <w:r w:rsidR="00EA181B" w:rsidRPr="00B506B1">
        <w:rPr>
          <w:vertAlign w:val="subscript"/>
        </w:rPr>
        <w:t>max</w:t>
      </w:r>
      <w:r w:rsidR="00EA181B">
        <w:t xml:space="preserve"> = 0.930</w:t>
      </w:r>
      <w:r w:rsidR="003777A2">
        <w:t>.</w:t>
      </w:r>
    </w:p>
    <w:p w14:paraId="620468FA" w14:textId="4182EE94" w:rsidR="00637CE2" w:rsidRDefault="00637CE2" w:rsidP="00637CE2">
      <w:pPr>
        <w:pStyle w:val="Observation"/>
      </w:pPr>
      <w:bookmarkStart w:id="1" w:name="_Toc481586489"/>
      <w:bookmarkStart w:id="2" w:name="_Toc481586584"/>
      <w:r>
        <w:t>Puncturing of parity bits</w:t>
      </w:r>
      <w:r w:rsidR="00F729A6">
        <w:t xml:space="preserve"> associated with submatrix B</w:t>
      </w:r>
      <w:r>
        <w:t xml:space="preserve"> is needed to reach high code rates.</w:t>
      </w:r>
      <w:bookmarkEnd w:id="1"/>
      <w:bookmarkEnd w:id="2"/>
    </w:p>
    <w:p w14:paraId="0B3AE85F" w14:textId="076D1EE7" w:rsidR="00D05E5C" w:rsidRDefault="00637CE2" w:rsidP="00637CE2">
      <w:pPr>
        <w:pStyle w:val="BodyText"/>
      </w:pPr>
      <w:r>
        <w:t>We note that the order in which the parity bits are punctured can affect the code rate. As an example</w:t>
      </w:r>
      <w:r w:rsidR="00912A37">
        <w:t>,</w:t>
      </w:r>
      <w:r>
        <w:t xml:space="preserve"> </w:t>
      </w:r>
      <w:r w:rsidR="007908D6">
        <w:t>consider</w:t>
      </w:r>
      <w:r>
        <w:t xml:space="preserve"> the </w:t>
      </w:r>
      <w:r w:rsidR="007908D6">
        <w:t xml:space="preserve">LDPC </w:t>
      </w:r>
      <w:r>
        <w:t xml:space="preserve">code described in </w:t>
      </w:r>
      <w:r w:rsidR="00245344">
        <w:fldChar w:fldCharType="begin"/>
      </w:r>
      <w:r w:rsidR="00245344">
        <w:instrText xml:space="preserve"> REF _Ref481399034 \r \h </w:instrText>
      </w:r>
      <w:r w:rsidR="00245344">
        <w:fldChar w:fldCharType="separate"/>
      </w:r>
      <w:r w:rsidR="00245344">
        <w:t>[4]</w:t>
      </w:r>
      <w:r w:rsidR="00245344">
        <w:fldChar w:fldCharType="end"/>
      </w:r>
      <w:r>
        <w:t xml:space="preserve">. </w:t>
      </w:r>
      <w:r w:rsidR="007908D6">
        <w:t xml:space="preserve">For k = 8000, the code uses Z = </w:t>
      </w:r>
      <w:r w:rsidR="00157DDD">
        <w:t xml:space="preserve">448 </w:t>
      </w:r>
      <w:r w:rsidR="007908D6">
        <w:t>and k</w:t>
      </w:r>
      <w:r w:rsidR="007908D6">
        <w:softHyphen/>
      </w:r>
      <w:r w:rsidR="007908D6">
        <w:softHyphen/>
      </w:r>
      <w:r w:rsidR="007908D6" w:rsidRPr="007908D6">
        <w:rPr>
          <w:vertAlign w:val="subscript"/>
        </w:rPr>
        <w:t>b</w:t>
      </w:r>
      <w:r w:rsidR="007908D6">
        <w:t xml:space="preserve"> = 18. The size of the submatrix B is 6x6. </w:t>
      </w:r>
      <w:r w:rsidR="00D05E5C">
        <w:t xml:space="preserve">Although dimensions of this code design is not fully consistent with the agreed NR parameters, this LDPC matrix is used to illustrate the issue. </w:t>
      </w:r>
    </w:p>
    <w:p w14:paraId="5A0F02E6" w14:textId="0C1549C2" w:rsidR="00637CE2" w:rsidRDefault="007908D6" w:rsidP="00637CE2">
      <w:pPr>
        <w:pStyle w:val="BodyText"/>
      </w:pPr>
      <w:r>
        <w:t>We consider two different orders of puncturing the parity bits. The baseline scheme is to puncture the parity bits from the end of the codeword. In the second scheme, we choose a puncturing order</w:t>
      </w:r>
      <w:r w:rsidR="00912A37">
        <w:t>, further described below,</w:t>
      </w:r>
      <w:r>
        <w:t xml:space="preserve"> that is equivalent to reordering </w:t>
      </w:r>
      <w:r w:rsidR="002652EB">
        <w:t>the columns of the submatrix B</w:t>
      </w:r>
      <w:r w:rsidR="00157DDD">
        <w:t xml:space="preserve"> and puncturing from the end</w:t>
      </w:r>
      <w:r w:rsidR="002652EB">
        <w:t>.</w:t>
      </w:r>
    </w:p>
    <w:p w14:paraId="63D000D7" w14:textId="2FAA744E" w:rsidR="000D39B4" w:rsidRDefault="00D05E5C" w:rsidP="00637CE2">
      <w:pPr>
        <w:pStyle w:val="BodyText"/>
      </w:pPr>
      <w:r>
        <w:t>For the example matrix (k</w:t>
      </w:r>
      <w:r>
        <w:softHyphen/>
      </w:r>
      <w:r>
        <w:softHyphen/>
      </w:r>
      <w:r w:rsidRPr="007908D6">
        <w:rPr>
          <w:vertAlign w:val="subscript"/>
        </w:rPr>
        <w:t>b</w:t>
      </w:r>
      <w:r>
        <w:t xml:space="preserve"> = 18, submatrix B is 6x6), p</w:t>
      </w:r>
      <w:r w:rsidR="002652EB">
        <w:t>uncturing two or three columns of B results in code rates of 9/10 or ~0.95,</w:t>
      </w:r>
      <w:r w:rsidR="00CA18CE">
        <w:t xml:space="preserve"> </w:t>
      </w:r>
      <w:r w:rsidR="002652EB">
        <w:t>respectively. Since the considered puncturing scheme is equivalent to a reordering of the columns in B</w:t>
      </w:r>
      <w:r w:rsidR="00157DDD">
        <w:t xml:space="preserve"> and puncturing from the end</w:t>
      </w:r>
      <w:r w:rsidR="002652EB">
        <w:t xml:space="preserve">, it is straightforward to calculate the density evolution thresholds for </w:t>
      </w:r>
      <w:r w:rsidR="00912A37">
        <w:t>different sets of punctured columns</w:t>
      </w:r>
      <w:r w:rsidR="002652EB">
        <w:t>. When puncturing two columns in B we find that puncturing from the end, i.e. columns 5 and 6, results in the lowest threshold. For three columns however, puncturing from the end results in a higher threshold than the puncturing scheme which is equivalent to puncturing columns 1, 5, and 6</w:t>
      </w:r>
      <w:r w:rsidR="00D72842">
        <w:t xml:space="preserve"> of submatrix B</w:t>
      </w:r>
      <w:r w:rsidR="002652EB">
        <w:t>.</w:t>
      </w:r>
      <w:r w:rsidR="00CA18CE">
        <w:t xml:space="preserve"> In</w:t>
      </w:r>
      <w:r w:rsidR="00BC7155">
        <w:t xml:space="preserve"> </w:t>
      </w:r>
      <w:r w:rsidR="00BC7155">
        <w:fldChar w:fldCharType="begin"/>
      </w:r>
      <w:r w:rsidR="00BC7155">
        <w:instrText xml:space="preserve"> REF _Ref481586074 \h </w:instrText>
      </w:r>
      <w:r w:rsidR="00BC7155">
        <w:fldChar w:fldCharType="separate"/>
      </w:r>
      <w:r w:rsidR="00BC7155">
        <w:t xml:space="preserve">Figure </w:t>
      </w:r>
      <w:r w:rsidR="00BC7155">
        <w:rPr>
          <w:noProof/>
        </w:rPr>
        <w:t>1</w:t>
      </w:r>
      <w:r w:rsidR="00BC7155">
        <w:fldChar w:fldCharType="end"/>
      </w:r>
      <w:r w:rsidR="00CA18CE">
        <w:t xml:space="preserve"> we have plotted BLER curves for rate 948/1024, corresponding to the highest entry in the LTE CQI table</w:t>
      </w:r>
      <w:r w:rsidR="007D19D9">
        <w:t xml:space="preserve"> </w:t>
      </w:r>
      <w:r w:rsidR="007D19D9">
        <w:fldChar w:fldCharType="begin"/>
      </w:r>
      <w:r w:rsidR="007D19D9">
        <w:instrText xml:space="preserve"> REF _Ref480890468 \n \h </w:instrText>
      </w:r>
      <w:r w:rsidR="007D19D9">
        <w:fldChar w:fldCharType="separate"/>
      </w:r>
      <w:r w:rsidR="007D19D9">
        <w:rPr>
          <w:cs/>
        </w:rPr>
        <w:t>‎</w:t>
      </w:r>
      <w:r w:rsidR="007D19D9">
        <w:t>[5]</w:t>
      </w:r>
      <w:r w:rsidR="007D19D9">
        <w:fldChar w:fldCharType="end"/>
      </w:r>
      <w:r w:rsidR="00CA18CE">
        <w:t xml:space="preserve">. This rate corresponds to puncturing of ~2.5 columns in B. </w:t>
      </w:r>
    </w:p>
    <w:p w14:paraId="2A5B08DD" w14:textId="46B80F55" w:rsidR="000D39B4" w:rsidRDefault="000D39B4" w:rsidP="00637CE2">
      <w:pPr>
        <w:pStyle w:val="BodyText"/>
      </w:pPr>
      <w:r>
        <w:lastRenderedPageBreak/>
        <w:t>The two puncturing order</w:t>
      </w:r>
      <w:r w:rsidR="00667013">
        <w:t>s</w:t>
      </w:r>
      <w:r>
        <w:t xml:space="preserve"> tested are:</w:t>
      </w:r>
    </w:p>
    <w:p w14:paraId="5CE8CB8A" w14:textId="5FB396EE" w:rsidR="000D39B4" w:rsidRDefault="000D39B4" w:rsidP="00B506B1">
      <w:pPr>
        <w:pStyle w:val="BodyText"/>
        <w:numPr>
          <w:ilvl w:val="0"/>
          <w:numId w:val="26"/>
        </w:numPr>
      </w:pPr>
      <w:r>
        <w:t xml:space="preserve">“Original puncturing order”: Puncture </w:t>
      </w:r>
      <w:r w:rsidR="00667013">
        <w:t xml:space="preserve">approximately </w:t>
      </w:r>
      <w:r>
        <w:t xml:space="preserve">half </w:t>
      </w:r>
      <w:r w:rsidR="00667013">
        <w:t>of the parity bits</w:t>
      </w:r>
      <w:r>
        <w:t xml:space="preserve"> </w:t>
      </w:r>
      <w:r w:rsidR="00667013">
        <w:t>in</w:t>
      </w:r>
      <w:r>
        <w:t xml:space="preserve"> column 4, and </w:t>
      </w:r>
      <w:r w:rsidR="003D63BB">
        <w:t>all</w:t>
      </w:r>
      <w:r w:rsidR="00667013">
        <w:t xml:space="preserve"> the parity bits in</w:t>
      </w:r>
      <w:r>
        <w:t xml:space="preserve"> column</w:t>
      </w:r>
      <w:r w:rsidR="00667013">
        <w:t>s</w:t>
      </w:r>
      <w:r>
        <w:t xml:space="preserve"> 5</w:t>
      </w:r>
      <w:r w:rsidR="00667013">
        <w:t xml:space="preserve"> and</w:t>
      </w:r>
      <w:r>
        <w:t xml:space="preserve"> 6 of submatrix B, </w:t>
      </w:r>
      <w:r w:rsidR="00667013">
        <w:t xml:space="preserve">i.e., </w:t>
      </w:r>
      <w:r>
        <w:t>starting from the end of matrix B</w:t>
      </w:r>
      <w:r w:rsidR="00B506B1">
        <w:t xml:space="preserve"> without column reordering</w:t>
      </w:r>
      <w:r>
        <w:t>.</w:t>
      </w:r>
    </w:p>
    <w:p w14:paraId="0F99082C" w14:textId="566FBE9C" w:rsidR="000D39B4" w:rsidRDefault="000D39B4" w:rsidP="00B506B1">
      <w:pPr>
        <w:pStyle w:val="BodyText"/>
        <w:numPr>
          <w:ilvl w:val="0"/>
          <w:numId w:val="26"/>
        </w:numPr>
      </w:pPr>
      <w:r>
        <w:t xml:space="preserve">“Improved puncturing order”: Puncture </w:t>
      </w:r>
      <w:r w:rsidR="00667013">
        <w:t>approximately half of the parity bits in</w:t>
      </w:r>
      <w:r>
        <w:t xml:space="preserve"> column 1</w:t>
      </w:r>
      <w:r w:rsidR="00667013">
        <w:t xml:space="preserve"> from the end</w:t>
      </w:r>
      <w:r>
        <w:t xml:space="preserve">, and </w:t>
      </w:r>
      <w:r w:rsidR="003D63BB">
        <w:t>all</w:t>
      </w:r>
      <w:r w:rsidR="00667013">
        <w:t xml:space="preserve"> the parity bits in</w:t>
      </w:r>
      <w:r>
        <w:t xml:space="preserve"> column</w:t>
      </w:r>
      <w:r w:rsidR="00667013">
        <w:t>s</w:t>
      </w:r>
      <w:r>
        <w:t xml:space="preserve"> 5</w:t>
      </w:r>
      <w:r w:rsidR="00667013">
        <w:t xml:space="preserve"> and</w:t>
      </w:r>
      <w:r>
        <w:t xml:space="preserve"> 6 of submatrix B</w:t>
      </w:r>
      <w:r w:rsidR="003D63BB">
        <w:t>.</w:t>
      </w:r>
      <w:r w:rsidR="00B506B1">
        <w:t xml:space="preserve"> This effect is achieved by reordering columns in B and then puncturing from the end.</w:t>
      </w:r>
    </w:p>
    <w:p w14:paraId="2AAEA6A4" w14:textId="77777777" w:rsidR="000D39B4" w:rsidRDefault="000D39B4" w:rsidP="00637CE2">
      <w:pPr>
        <w:pStyle w:val="BodyText"/>
      </w:pPr>
    </w:p>
    <w:p w14:paraId="513B3CFC" w14:textId="3A629025" w:rsidR="002652EB" w:rsidRDefault="00CA18CE" w:rsidP="00637CE2">
      <w:pPr>
        <w:pStyle w:val="BodyText"/>
      </w:pPr>
      <w:r>
        <w:t xml:space="preserve">As predicted by the threshold analysis, the improved puncturing order outperforms the original </w:t>
      </w:r>
      <w:r w:rsidR="003D63BB">
        <w:t xml:space="preserve">puncturing </w:t>
      </w:r>
      <w:r>
        <w:t>order by ~0.1 dB at BLER = 10</w:t>
      </w:r>
      <w:r w:rsidRPr="0023380A">
        <w:rPr>
          <w:vertAlign w:val="superscript"/>
        </w:rPr>
        <w:t>-2</w:t>
      </w:r>
      <w:r w:rsidR="0023380A">
        <w:t>, and by ~0.4 dB at BLER = 10</w:t>
      </w:r>
      <w:r w:rsidRPr="0023380A">
        <w:rPr>
          <w:vertAlign w:val="superscript"/>
        </w:rPr>
        <w:t>-4</w:t>
      </w:r>
      <w:r>
        <w:t>.</w:t>
      </w:r>
    </w:p>
    <w:p w14:paraId="7240A5FE" w14:textId="77638B77" w:rsidR="00B506B1" w:rsidRDefault="00B506B1" w:rsidP="00637CE2">
      <w:pPr>
        <w:pStyle w:val="BodyText"/>
      </w:pPr>
    </w:p>
    <w:p w14:paraId="4B1C1003" w14:textId="2640C989" w:rsidR="00B506B1" w:rsidRPr="00E651DC" w:rsidRDefault="00B506B1" w:rsidP="00B506B1">
      <w:pPr>
        <w:pStyle w:val="Observation"/>
      </w:pPr>
      <w:r>
        <w:t>BLER performance at high code rates can be i</w:t>
      </w:r>
      <w:r>
        <w:t>mprov</w:t>
      </w:r>
      <w:r>
        <w:t xml:space="preserve">ed by changing the order in which the parity bits </w:t>
      </w:r>
      <w:r w:rsidR="00F729A6">
        <w:t xml:space="preserve">associated with submatrix </w:t>
      </w:r>
      <w:r>
        <w:t>B are written into the circular buffer.</w:t>
      </w:r>
    </w:p>
    <w:p w14:paraId="0E9F1331" w14:textId="77777777" w:rsidR="00B506B1" w:rsidRDefault="00B506B1" w:rsidP="00B506B1">
      <w:pPr>
        <w:pStyle w:val="BodyText"/>
      </w:pPr>
      <w:r>
        <w:t>Based on these observations we make the following proposal to improve BLER performance:</w:t>
      </w:r>
    </w:p>
    <w:p w14:paraId="07AFF8F3" w14:textId="65F72DC2" w:rsidR="00B506B1" w:rsidRPr="00B23EE1" w:rsidRDefault="00B506B1" w:rsidP="00B506B1">
      <w:pPr>
        <w:pStyle w:val="Proposal"/>
      </w:pPr>
      <w:r>
        <w:t xml:space="preserve">Reorder the parity bits </w:t>
      </w:r>
      <w:r w:rsidR="00F729A6">
        <w:t>associated with submatrix</w:t>
      </w:r>
      <w:r>
        <w:t xml:space="preserve"> B before writing into the circular buffer.</w:t>
      </w:r>
    </w:p>
    <w:p w14:paraId="04EE33F5" w14:textId="77777777" w:rsidR="00B506B1" w:rsidRPr="00CE0424" w:rsidRDefault="00B506B1" w:rsidP="00B506B1">
      <w:pPr>
        <w:pStyle w:val="BodyText"/>
      </w:pPr>
    </w:p>
    <w:p w14:paraId="40EA3FE7" w14:textId="77777777" w:rsidR="00B506B1" w:rsidRPr="007908D6" w:rsidRDefault="00B506B1" w:rsidP="00637CE2">
      <w:pPr>
        <w:pStyle w:val="BodyText"/>
      </w:pPr>
    </w:p>
    <w:p w14:paraId="69A70F7B" w14:textId="77777777" w:rsidR="00B23EE1" w:rsidRDefault="00B23EE1" w:rsidP="00B23EE1">
      <w:pPr>
        <w:pStyle w:val="BodyText"/>
        <w:keepNext/>
        <w:jc w:val="center"/>
      </w:pPr>
      <w:r w:rsidRPr="00B23EE1">
        <w:rPr>
          <w:noProof/>
          <w:lang w:val="en-US"/>
        </w:rPr>
        <w:drawing>
          <wp:inline distT="0" distB="0" distL="0" distR="0" wp14:anchorId="5D8E9A35" wp14:editId="5466F325">
            <wp:extent cx="5324475" cy="399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8955C" w14:textId="5FF07F64" w:rsidR="00637CE2" w:rsidRDefault="00B23EE1" w:rsidP="00B23EE1">
      <w:pPr>
        <w:pStyle w:val="Caption"/>
      </w:pPr>
      <w:bookmarkStart w:id="3" w:name="_Ref4815860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LDPC performance for different puncturing orders at high rate.</w:t>
      </w:r>
    </w:p>
    <w:p w14:paraId="1FA75E18" w14:textId="77777777" w:rsidR="00625B29" w:rsidRPr="00CE0424" w:rsidRDefault="00625B29" w:rsidP="00625B29">
      <w:pPr>
        <w:pStyle w:val="Heading1"/>
      </w:pPr>
      <w:r w:rsidRPr="00CE0424">
        <w:t>Conclusion</w:t>
      </w:r>
    </w:p>
    <w:p w14:paraId="5385E826" w14:textId="692F3B7D" w:rsidR="00B57C3E" w:rsidRDefault="00F729A6" w:rsidP="00F729A6">
      <w:pPr>
        <w:pStyle w:val="BodyText"/>
        <w:rPr>
          <w:noProof/>
        </w:rPr>
      </w:pPr>
      <w:r>
        <w:t>In this contribution, we consider the performance of code rates higher than 8/9, achieved through puncturing of the parity bits in the sub-matrix B described above.</w:t>
      </w:r>
      <w:r>
        <w:t xml:space="preserve"> W</w:t>
      </w:r>
      <w:r w:rsidR="00625B29" w:rsidRPr="00CE0424">
        <w:t xml:space="preserve">e </w:t>
      </w:r>
      <w:r w:rsidR="00625B29">
        <w:t>made the following observations</w:t>
      </w:r>
      <w:r>
        <w:t xml:space="preserve"> and proposal</w:t>
      </w:r>
      <w:r w:rsidR="00625B29" w:rsidRPr="00CE0424">
        <w:t>:</w:t>
      </w:r>
      <w:r w:rsidR="00625B29">
        <w:rPr>
          <w:b/>
          <w:bCs/>
        </w:rPr>
        <w:fldChar w:fldCharType="begin"/>
      </w:r>
      <w:r w:rsidR="00625B29">
        <w:rPr>
          <w:b/>
          <w:bCs/>
        </w:rPr>
        <w:instrText xml:space="preserve"> TOC \f \n \t "Observation;1" </w:instrText>
      </w:r>
      <w:r w:rsidR="00625B29">
        <w:rPr>
          <w:b/>
          <w:bCs/>
        </w:rPr>
        <w:fldChar w:fldCharType="separate"/>
      </w:r>
    </w:p>
    <w:p w14:paraId="5327D60A" w14:textId="4FD38091" w:rsidR="00B57C3E" w:rsidRPr="00B57C3E" w:rsidRDefault="00B57C3E" w:rsidP="00F729A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B57C3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9A6">
        <w:t>Puncturing of parity bits associated with submatrix B is needed to reach high code rates.</w:t>
      </w:r>
    </w:p>
    <w:p w14:paraId="3A4B2E7A" w14:textId="47A9FE92" w:rsidR="00B57C3E" w:rsidRPr="00B57C3E" w:rsidRDefault="00B57C3E" w:rsidP="00F729A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B57C3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9A6">
        <w:t>BLER performance at high code rates can be improved by changing the order in which the parity bits associated with submatrix B are written into the circular buffer.</w:t>
      </w:r>
    </w:p>
    <w:p w14:paraId="1E53CEEF" w14:textId="77777777" w:rsidR="00625B29" w:rsidRDefault="00625B29" w:rsidP="00F729A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77ED618" w14:textId="77777777" w:rsidR="00B23EE1" w:rsidRDefault="00625B29" w:rsidP="00F729A6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23EE1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7E81941" w14:textId="60345ECE" w:rsidR="00B23EE1" w:rsidRPr="00B23EE1" w:rsidRDefault="00B23EE1" w:rsidP="00F729A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B23EE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9A6">
        <w:t>Reorder the parity bits associated with submatrix B before writing into the circular buffer.</w:t>
      </w:r>
    </w:p>
    <w:p w14:paraId="40F8455C" w14:textId="77777777" w:rsidR="00625B29" w:rsidRPr="00CE0424" w:rsidRDefault="00625B29" w:rsidP="00F729A6">
      <w:pPr>
        <w:pStyle w:val="BodyText"/>
      </w:pPr>
      <w:r>
        <w:fldChar w:fldCharType="end"/>
      </w:r>
    </w:p>
    <w:p w14:paraId="72F24642" w14:textId="77777777" w:rsidR="00625B29" w:rsidRPr="00CE0424" w:rsidRDefault="00625B29" w:rsidP="00625B29">
      <w:pPr>
        <w:pStyle w:val="Heading1"/>
      </w:pPr>
      <w:bookmarkStart w:id="4" w:name="_In-sequence_SDU_delivery"/>
      <w:bookmarkStart w:id="5" w:name="_GoBack"/>
      <w:bookmarkEnd w:id="4"/>
      <w:bookmarkEnd w:id="5"/>
      <w:r w:rsidRPr="00CE0424">
        <w:t>References</w:t>
      </w:r>
    </w:p>
    <w:p w14:paraId="2659D260" w14:textId="77777777" w:rsidR="00855063" w:rsidRDefault="00DE46BA" w:rsidP="00B34BC2">
      <w:pPr>
        <w:pStyle w:val="Reference"/>
      </w:pPr>
      <w:bookmarkStart w:id="6" w:name="_Ref476919366"/>
      <w:bookmarkStart w:id="7" w:name="_Ref449678105"/>
      <w:bookmarkStart w:id="8" w:name="_Ref453835673"/>
      <w:bookmarkStart w:id="9" w:name="_Ref174151459"/>
      <w:bookmarkStart w:id="10" w:name="_Ref189809556"/>
      <w:r w:rsidRPr="00530B87">
        <w:rPr>
          <w:rFonts w:cs="Arial"/>
        </w:rPr>
        <w:t xml:space="preserve">RAN1, Chairman’s Notes, 3GPP TSG RAN </w:t>
      </w:r>
      <w:r>
        <w:rPr>
          <w:rFonts w:cs="Arial"/>
        </w:rPr>
        <w:t>WG1 Meeting #87, November 2016</w:t>
      </w:r>
      <w:r w:rsidRPr="00530B87">
        <w:rPr>
          <w:rFonts w:cs="Arial"/>
        </w:rPr>
        <w:t>.</w:t>
      </w:r>
      <w:bookmarkEnd w:id="6"/>
    </w:p>
    <w:p w14:paraId="73383EEA" w14:textId="2D1C6463" w:rsidR="00855063" w:rsidRDefault="00855063" w:rsidP="00855063">
      <w:pPr>
        <w:pStyle w:val="Reference"/>
        <w:rPr>
          <w:rFonts w:cs="Arial"/>
        </w:rPr>
      </w:pPr>
      <w:bookmarkStart w:id="11" w:name="_Ref481751075"/>
      <w:r>
        <w:rPr>
          <w:rFonts w:cs="Arial"/>
        </w:rPr>
        <w:t>RAN1, Chairman’s Notes, 3GPP TSG RAN WG1 NR AdHoc, January 2017.</w:t>
      </w:r>
      <w:bookmarkEnd w:id="11"/>
    </w:p>
    <w:p w14:paraId="3543E53C" w14:textId="5E340C9A" w:rsidR="0088624A" w:rsidRDefault="0088624A" w:rsidP="00855063">
      <w:pPr>
        <w:pStyle w:val="Reference"/>
        <w:rPr>
          <w:rFonts w:cs="Arial"/>
        </w:rPr>
      </w:pPr>
      <w:bookmarkStart w:id="12" w:name="_Ref481751193"/>
      <w:r w:rsidRPr="00530B87">
        <w:rPr>
          <w:rFonts w:cs="Arial"/>
        </w:rPr>
        <w:t xml:space="preserve">RAN1, Chairman’s Notes, 3GPP TSG RAN </w:t>
      </w:r>
      <w:r>
        <w:rPr>
          <w:rFonts w:cs="Arial"/>
        </w:rPr>
        <w:t>WG1 Meeting #88, February 2017</w:t>
      </w:r>
      <w:r w:rsidRPr="00530B87">
        <w:rPr>
          <w:rFonts w:cs="Arial"/>
        </w:rPr>
        <w:t>.</w:t>
      </w:r>
      <w:bookmarkEnd w:id="12"/>
    </w:p>
    <w:p w14:paraId="54412DEF" w14:textId="77777777" w:rsidR="00245344" w:rsidRPr="00280C64" w:rsidRDefault="00245344" w:rsidP="00245344">
      <w:pPr>
        <w:pStyle w:val="Reference"/>
        <w:rPr>
          <w:rFonts w:cs="Arial"/>
        </w:rPr>
      </w:pPr>
      <w:bookmarkStart w:id="13" w:name="_Ref481399034"/>
      <w:r w:rsidRPr="00C75958">
        <w:rPr>
          <w:rFonts w:cs="Arial"/>
        </w:rPr>
        <w:t>R1-1705627</w:t>
      </w:r>
      <w:r>
        <w:rPr>
          <w:rFonts w:cs="Arial"/>
        </w:rPr>
        <w:t xml:space="preserve">, </w:t>
      </w:r>
      <w:r>
        <w:t>LDPC code design for larger lift sizes, Qualcomm Incorporated, Meeting #88bis, April 2017.</w:t>
      </w:r>
      <w:bookmarkEnd w:id="13"/>
    </w:p>
    <w:p w14:paraId="0DD4510E" w14:textId="25DD927B" w:rsidR="00245344" w:rsidRDefault="007D19D9" w:rsidP="007D19D9">
      <w:pPr>
        <w:pStyle w:val="Reference"/>
      </w:pPr>
      <w:bookmarkStart w:id="14" w:name="_Ref477950120"/>
      <w:bookmarkStart w:id="15" w:name="_Ref480890468"/>
      <w:r w:rsidRPr="00F943F9">
        <w:t>3GPP TS 36.21</w:t>
      </w:r>
      <w:r>
        <w:t>3</w:t>
      </w:r>
      <w:r w:rsidRPr="00F943F9">
        <w:t xml:space="preserve">, Evolved universal terrestrial radio access (E-UTRA), V14.2.0, Release 14, </w:t>
      </w:r>
      <w:bookmarkEnd w:id="14"/>
      <w:r w:rsidRPr="00F943F9">
        <w:t>March 2017.</w:t>
      </w:r>
      <w:bookmarkEnd w:id="15"/>
    </w:p>
    <w:p w14:paraId="40492F62" w14:textId="23CB35CA" w:rsidR="006D7B54" w:rsidRPr="006D7B54" w:rsidRDefault="006D7B54" w:rsidP="006D7B54">
      <w:pPr>
        <w:pStyle w:val="Reference"/>
        <w:rPr>
          <w:rFonts w:cs="Arial"/>
        </w:rPr>
      </w:pPr>
      <w:bookmarkStart w:id="16" w:name="_Ref481753026"/>
      <w:r w:rsidRPr="006D7B54">
        <w:rPr>
          <w:rFonts w:cs="Arial"/>
        </w:rPr>
        <w:t>R1-1707066</w:t>
      </w:r>
      <w:r>
        <w:rPr>
          <w:rFonts w:cs="Arial"/>
        </w:rPr>
        <w:t>,</w:t>
      </w:r>
      <w:r w:rsidRPr="006D7B54">
        <w:rPr>
          <w:rFonts w:cs="Arial"/>
        </w:rPr>
        <w:t xml:space="preserve"> LDPC </w:t>
      </w:r>
      <w:r w:rsidR="00461332">
        <w:rPr>
          <w:rFonts w:cs="Arial"/>
        </w:rPr>
        <w:t>c</w:t>
      </w:r>
      <w:r w:rsidRPr="006D7B54">
        <w:rPr>
          <w:rFonts w:cs="Arial"/>
        </w:rPr>
        <w:t xml:space="preserve">ode </w:t>
      </w:r>
      <w:r w:rsidR="00461332">
        <w:rPr>
          <w:rFonts w:cs="Arial"/>
        </w:rPr>
        <w:t>p</w:t>
      </w:r>
      <w:r w:rsidRPr="006D7B54">
        <w:rPr>
          <w:rFonts w:cs="Arial"/>
        </w:rPr>
        <w:t xml:space="preserve">erformance at </w:t>
      </w:r>
      <w:r w:rsidR="00461332">
        <w:rPr>
          <w:rFonts w:cs="Arial"/>
        </w:rPr>
        <w:t>h</w:t>
      </w:r>
      <w:r w:rsidRPr="006D7B54">
        <w:rPr>
          <w:rFonts w:cs="Arial"/>
        </w:rPr>
        <w:t xml:space="preserve">igh </w:t>
      </w:r>
      <w:r w:rsidR="00461332">
        <w:rPr>
          <w:rFonts w:cs="Arial"/>
        </w:rPr>
        <w:t>c</w:t>
      </w:r>
      <w:r w:rsidRPr="006D7B54">
        <w:rPr>
          <w:rFonts w:cs="Arial"/>
        </w:rPr>
        <w:t xml:space="preserve">ode </w:t>
      </w:r>
      <w:r w:rsidR="00461332">
        <w:rPr>
          <w:rFonts w:cs="Arial"/>
        </w:rPr>
        <w:t>r</w:t>
      </w:r>
      <w:r w:rsidRPr="006D7B54">
        <w:rPr>
          <w:rFonts w:cs="Arial"/>
        </w:rPr>
        <w:t>ate</w:t>
      </w:r>
      <w:r>
        <w:t xml:space="preserve">, </w:t>
      </w:r>
      <w:r w:rsidR="004971F6">
        <w:t xml:space="preserve">Ericsson, </w:t>
      </w:r>
      <w:r>
        <w:t>Meeting #89, May 2017.</w:t>
      </w:r>
      <w:bookmarkEnd w:id="16"/>
    </w:p>
    <w:p w14:paraId="5498E414" w14:textId="75F50016" w:rsidR="003A7EF3" w:rsidRPr="00CE0424" w:rsidRDefault="003A7EF3" w:rsidP="00B34BC2">
      <w:pPr>
        <w:pStyle w:val="Reference"/>
        <w:numPr>
          <w:ilvl w:val="0"/>
          <w:numId w:val="0"/>
        </w:numPr>
      </w:pPr>
      <w:bookmarkStart w:id="17" w:name="_Ref481750414"/>
      <w:bookmarkEnd w:id="7"/>
      <w:bookmarkEnd w:id="8"/>
      <w:bookmarkEnd w:id="9"/>
      <w:bookmarkEnd w:id="10"/>
      <w:bookmarkEnd w:id="17"/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5A010" w14:textId="77777777" w:rsidR="000A6B6C" w:rsidRDefault="000A6B6C">
      <w:r>
        <w:separator/>
      </w:r>
    </w:p>
  </w:endnote>
  <w:endnote w:type="continuationSeparator" w:id="0">
    <w:p w14:paraId="09966DF7" w14:textId="77777777" w:rsidR="000A6B6C" w:rsidRDefault="000A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EE19C" w14:textId="0CA0CDB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11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11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C3CD" w14:textId="77777777" w:rsidR="000A6B6C" w:rsidRDefault="000A6B6C">
      <w:r>
        <w:separator/>
      </w:r>
    </w:p>
  </w:footnote>
  <w:footnote w:type="continuationSeparator" w:id="0">
    <w:p w14:paraId="48A965C4" w14:textId="77777777" w:rsidR="000A6B6C" w:rsidRDefault="000A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FA2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ED270F"/>
    <w:multiLevelType w:val="hybridMultilevel"/>
    <w:tmpl w:val="63D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71967"/>
    <w:multiLevelType w:val="hybridMultilevel"/>
    <w:tmpl w:val="5D04C9E4"/>
    <w:lvl w:ilvl="0" w:tplc="BFC20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D4AB8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5943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2CE58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1208F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60A30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D6228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7605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DEA3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1"/>
  </w:num>
  <w:num w:numId="5">
    <w:abstractNumId w:val="7"/>
  </w:num>
  <w:num w:numId="6">
    <w:abstractNumId w:val="14"/>
  </w:num>
  <w:num w:numId="7">
    <w:abstractNumId w:val="18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0"/>
  </w:num>
  <w:num w:numId="18">
    <w:abstractNumId w:val="13"/>
  </w:num>
  <w:num w:numId="19">
    <w:abstractNumId w:val="15"/>
  </w:num>
  <w:num w:numId="20">
    <w:abstractNumId w:val="10"/>
  </w:num>
  <w:num w:numId="21">
    <w:abstractNumId w:val="19"/>
  </w:num>
  <w:num w:numId="22">
    <w:abstractNumId w:val="17"/>
  </w:num>
  <w:num w:numId="23">
    <w:abstractNumId w:val="9"/>
  </w:num>
  <w:num w:numId="24">
    <w:abstractNumId w:val="5"/>
  </w:num>
  <w:num w:numId="25">
    <w:abstractNumId w:val="22"/>
  </w:num>
  <w:num w:numId="2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7DE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B6C"/>
    <w:rsid w:val="000B2719"/>
    <w:rsid w:val="000B3A8F"/>
    <w:rsid w:val="000B4AB9"/>
    <w:rsid w:val="000B58C3"/>
    <w:rsid w:val="000B61E9"/>
    <w:rsid w:val="000C165A"/>
    <w:rsid w:val="000C2E19"/>
    <w:rsid w:val="000D0D07"/>
    <w:rsid w:val="000D39B4"/>
    <w:rsid w:val="000D4797"/>
    <w:rsid w:val="000E0527"/>
    <w:rsid w:val="000E1E92"/>
    <w:rsid w:val="000F06D6"/>
    <w:rsid w:val="000F0EB1"/>
    <w:rsid w:val="000F1106"/>
    <w:rsid w:val="000F3BE9"/>
    <w:rsid w:val="000F3F6C"/>
    <w:rsid w:val="000F3FDE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57DDD"/>
    <w:rsid w:val="001659C1"/>
    <w:rsid w:val="00173A8E"/>
    <w:rsid w:val="00174E8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80A"/>
    <w:rsid w:val="00235632"/>
    <w:rsid w:val="00235872"/>
    <w:rsid w:val="00241559"/>
    <w:rsid w:val="002435B3"/>
    <w:rsid w:val="00245344"/>
    <w:rsid w:val="002458EB"/>
    <w:rsid w:val="002500C8"/>
    <w:rsid w:val="00257543"/>
    <w:rsid w:val="002617E7"/>
    <w:rsid w:val="00264228"/>
    <w:rsid w:val="00264334"/>
    <w:rsid w:val="0026473E"/>
    <w:rsid w:val="002652EB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046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6ED5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7A2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6327"/>
    <w:rsid w:val="003D63BB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19B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1332"/>
    <w:rsid w:val="004669E2"/>
    <w:rsid w:val="00470C31"/>
    <w:rsid w:val="004734D0"/>
    <w:rsid w:val="0047556B"/>
    <w:rsid w:val="00477768"/>
    <w:rsid w:val="00492BC5"/>
    <w:rsid w:val="004964F1"/>
    <w:rsid w:val="004971F6"/>
    <w:rsid w:val="004A16BC"/>
    <w:rsid w:val="004A2B94"/>
    <w:rsid w:val="004A6F1F"/>
    <w:rsid w:val="004B7AE1"/>
    <w:rsid w:val="004B7C0C"/>
    <w:rsid w:val="004C3898"/>
    <w:rsid w:val="004D36B1"/>
    <w:rsid w:val="004D6E4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35"/>
    <w:rsid w:val="005B35D7"/>
    <w:rsid w:val="005B392A"/>
    <w:rsid w:val="005B3AA3"/>
    <w:rsid w:val="005B6F83"/>
    <w:rsid w:val="005C25AF"/>
    <w:rsid w:val="005C33B0"/>
    <w:rsid w:val="005C74FB"/>
    <w:rsid w:val="005D1602"/>
    <w:rsid w:val="005E385F"/>
    <w:rsid w:val="005E5B81"/>
    <w:rsid w:val="005F2CB1"/>
    <w:rsid w:val="005F3025"/>
    <w:rsid w:val="005F618C"/>
    <w:rsid w:val="005F70BD"/>
    <w:rsid w:val="0060277E"/>
    <w:rsid w:val="0060283C"/>
    <w:rsid w:val="00604F14"/>
    <w:rsid w:val="00611B83"/>
    <w:rsid w:val="00613257"/>
    <w:rsid w:val="00620A71"/>
    <w:rsid w:val="00620D80"/>
    <w:rsid w:val="006212A9"/>
    <w:rsid w:val="006234A6"/>
    <w:rsid w:val="00625B29"/>
    <w:rsid w:val="00630001"/>
    <w:rsid w:val="006311B3"/>
    <w:rsid w:val="0063284C"/>
    <w:rsid w:val="00636398"/>
    <w:rsid w:val="006368D3"/>
    <w:rsid w:val="006377EC"/>
    <w:rsid w:val="00637CE2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83D"/>
    <w:rsid w:val="006655EE"/>
    <w:rsid w:val="0066701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170B"/>
    <w:rsid w:val="006C5EC9"/>
    <w:rsid w:val="006C6059"/>
    <w:rsid w:val="006C7522"/>
    <w:rsid w:val="006D6F08"/>
    <w:rsid w:val="006D7B54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8D6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AEF"/>
    <w:rsid w:val="007C05DD"/>
    <w:rsid w:val="007C3D18"/>
    <w:rsid w:val="007C60BF"/>
    <w:rsid w:val="007C6A07"/>
    <w:rsid w:val="007C75A1"/>
    <w:rsid w:val="007C77A5"/>
    <w:rsid w:val="007D04E5"/>
    <w:rsid w:val="007D19D9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156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06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24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A37"/>
    <w:rsid w:val="009139D9"/>
    <w:rsid w:val="00914AD8"/>
    <w:rsid w:val="00916079"/>
    <w:rsid w:val="00917CE9"/>
    <w:rsid w:val="00920BF2"/>
    <w:rsid w:val="00922010"/>
    <w:rsid w:val="0092423C"/>
    <w:rsid w:val="00931BD9"/>
    <w:rsid w:val="0093310F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817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6B9"/>
    <w:rsid w:val="00A92879"/>
    <w:rsid w:val="00A9442A"/>
    <w:rsid w:val="00AA016F"/>
    <w:rsid w:val="00AA1ED6"/>
    <w:rsid w:val="00AA51D6"/>
    <w:rsid w:val="00AB0BC8"/>
    <w:rsid w:val="00AB11CA"/>
    <w:rsid w:val="00AB14D9"/>
    <w:rsid w:val="00AB172F"/>
    <w:rsid w:val="00AB4AB8"/>
    <w:rsid w:val="00AB655E"/>
    <w:rsid w:val="00AC007F"/>
    <w:rsid w:val="00AC2ECD"/>
    <w:rsid w:val="00AC3119"/>
    <w:rsid w:val="00AC3E64"/>
    <w:rsid w:val="00AC49FB"/>
    <w:rsid w:val="00AC5A10"/>
    <w:rsid w:val="00AD044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EE1"/>
    <w:rsid w:val="00B2763F"/>
    <w:rsid w:val="00B27AAC"/>
    <w:rsid w:val="00B304F3"/>
    <w:rsid w:val="00B30929"/>
    <w:rsid w:val="00B310DF"/>
    <w:rsid w:val="00B34BC2"/>
    <w:rsid w:val="00B372AA"/>
    <w:rsid w:val="00B40445"/>
    <w:rsid w:val="00B40BEF"/>
    <w:rsid w:val="00B41888"/>
    <w:rsid w:val="00B45A52"/>
    <w:rsid w:val="00B46175"/>
    <w:rsid w:val="00B506B1"/>
    <w:rsid w:val="00B57C3E"/>
    <w:rsid w:val="00B6188F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91C"/>
    <w:rsid w:val="00BB2A25"/>
    <w:rsid w:val="00BB51E9"/>
    <w:rsid w:val="00BC0FDC"/>
    <w:rsid w:val="00BC3053"/>
    <w:rsid w:val="00BC4D2E"/>
    <w:rsid w:val="00BC715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2ABC"/>
    <w:rsid w:val="00C54995"/>
    <w:rsid w:val="00C54D41"/>
    <w:rsid w:val="00C60783"/>
    <w:rsid w:val="00C63DC9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3A0"/>
    <w:rsid w:val="00CA18CE"/>
    <w:rsid w:val="00CA1ED8"/>
    <w:rsid w:val="00CB1F63"/>
    <w:rsid w:val="00CB7170"/>
    <w:rsid w:val="00CC040E"/>
    <w:rsid w:val="00CC111F"/>
    <w:rsid w:val="00CC2011"/>
    <w:rsid w:val="00CC21AB"/>
    <w:rsid w:val="00CC3EA0"/>
    <w:rsid w:val="00CC7B45"/>
    <w:rsid w:val="00CD1188"/>
    <w:rsid w:val="00CD2ED1"/>
    <w:rsid w:val="00CD337B"/>
    <w:rsid w:val="00CE0424"/>
    <w:rsid w:val="00CE752E"/>
    <w:rsid w:val="00CE7561"/>
    <w:rsid w:val="00CF1354"/>
    <w:rsid w:val="00CF3B1F"/>
    <w:rsid w:val="00CF3BF6"/>
    <w:rsid w:val="00CF625B"/>
    <w:rsid w:val="00CF687E"/>
    <w:rsid w:val="00D0349B"/>
    <w:rsid w:val="00D05E04"/>
    <w:rsid w:val="00D05E5C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0E2E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15C5"/>
    <w:rsid w:val="00D72842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6BA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1DC"/>
    <w:rsid w:val="00E660D3"/>
    <w:rsid w:val="00E67C51"/>
    <w:rsid w:val="00E724CE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81B"/>
    <w:rsid w:val="00EA7A41"/>
    <w:rsid w:val="00EB077B"/>
    <w:rsid w:val="00EB4EA2"/>
    <w:rsid w:val="00EC11F7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26787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9A6"/>
    <w:rsid w:val="00F72B72"/>
    <w:rsid w:val="00F74BB9"/>
    <w:rsid w:val="00F75582"/>
    <w:rsid w:val="00F76EFA"/>
    <w:rsid w:val="00F7757E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5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A08D9A"/>
  <w15:chartTrackingRefBased/>
  <w15:docId w15:val="{CB30360A-95C5-4B66-B06D-D2424CFF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E752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75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E752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E752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CE752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E752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E752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E752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E752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E752E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CE75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E752E"/>
  </w:style>
  <w:style w:type="paragraph" w:styleId="TOC8">
    <w:name w:val="toc 8"/>
    <w:basedOn w:val="TOC1"/>
    <w:semiHidden/>
    <w:rsid w:val="00CE752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E752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CE752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E752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E752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E752E"/>
    <w:pPr>
      <w:ind w:left="1418" w:hanging="1418"/>
    </w:pPr>
  </w:style>
  <w:style w:type="paragraph" w:styleId="TOC3">
    <w:name w:val="toc 3"/>
    <w:basedOn w:val="TOC2"/>
    <w:semiHidden/>
    <w:rsid w:val="00CE752E"/>
    <w:pPr>
      <w:ind w:left="1134" w:hanging="1134"/>
    </w:pPr>
  </w:style>
  <w:style w:type="paragraph" w:styleId="TOC2">
    <w:name w:val="toc 2"/>
    <w:basedOn w:val="TOC1"/>
    <w:semiHidden/>
    <w:rsid w:val="00CE752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E752E"/>
    <w:pPr>
      <w:ind w:left="284"/>
    </w:pPr>
  </w:style>
  <w:style w:type="paragraph" w:styleId="Index1">
    <w:name w:val="index 1"/>
    <w:basedOn w:val="Normal"/>
    <w:semiHidden/>
    <w:rsid w:val="00CE752E"/>
    <w:pPr>
      <w:keepLines/>
      <w:spacing w:after="0"/>
    </w:pPr>
  </w:style>
  <w:style w:type="paragraph" w:styleId="DocumentMap">
    <w:name w:val="Document Map"/>
    <w:basedOn w:val="Normal"/>
    <w:semiHidden/>
    <w:rsid w:val="00CE752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E752E"/>
    <w:pPr>
      <w:ind w:left="851"/>
    </w:pPr>
  </w:style>
  <w:style w:type="paragraph" w:styleId="ListNumber">
    <w:name w:val="List Number"/>
    <w:basedOn w:val="List"/>
    <w:rsid w:val="00CE752E"/>
  </w:style>
  <w:style w:type="paragraph" w:styleId="List">
    <w:name w:val="List"/>
    <w:basedOn w:val="Normal"/>
    <w:rsid w:val="00CE752E"/>
    <w:pPr>
      <w:ind w:left="568" w:hanging="284"/>
    </w:pPr>
  </w:style>
  <w:style w:type="paragraph" w:styleId="Header">
    <w:name w:val="header"/>
    <w:rsid w:val="00CE75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CE752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E752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E752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E752E"/>
    <w:pPr>
      <w:ind w:left="1418" w:hanging="1418"/>
    </w:pPr>
  </w:style>
  <w:style w:type="paragraph" w:styleId="TOC6">
    <w:name w:val="toc 6"/>
    <w:basedOn w:val="TOC5"/>
    <w:next w:val="Normal"/>
    <w:semiHidden/>
    <w:rsid w:val="00CE752E"/>
    <w:pPr>
      <w:ind w:left="1985" w:hanging="1985"/>
    </w:pPr>
  </w:style>
  <w:style w:type="paragraph" w:styleId="TOC7">
    <w:name w:val="toc 7"/>
    <w:basedOn w:val="TOC6"/>
    <w:next w:val="Normal"/>
    <w:semiHidden/>
    <w:rsid w:val="00CE752E"/>
    <w:pPr>
      <w:ind w:left="2268" w:hanging="2268"/>
    </w:pPr>
  </w:style>
  <w:style w:type="paragraph" w:styleId="ListBullet2">
    <w:name w:val="List Bullet 2"/>
    <w:basedOn w:val="ListBullet"/>
    <w:rsid w:val="00CE752E"/>
    <w:pPr>
      <w:numPr>
        <w:numId w:val="6"/>
      </w:numPr>
    </w:pPr>
  </w:style>
  <w:style w:type="paragraph" w:styleId="ListBullet">
    <w:name w:val="List Bullet"/>
    <w:basedOn w:val="BodyText"/>
    <w:rsid w:val="00CE752E"/>
    <w:pPr>
      <w:numPr>
        <w:numId w:val="5"/>
      </w:numPr>
    </w:pPr>
  </w:style>
  <w:style w:type="paragraph" w:styleId="ListBullet3">
    <w:name w:val="List Bullet 3"/>
    <w:basedOn w:val="ListBullet2"/>
    <w:rsid w:val="00CE752E"/>
    <w:pPr>
      <w:numPr>
        <w:numId w:val="7"/>
      </w:numPr>
    </w:pPr>
  </w:style>
  <w:style w:type="paragraph" w:customStyle="1" w:styleId="EQ">
    <w:name w:val="EQ"/>
    <w:basedOn w:val="Normal"/>
    <w:next w:val="Normal"/>
    <w:rsid w:val="00CE752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E752E"/>
    <w:pPr>
      <w:ind w:left="851"/>
    </w:pPr>
  </w:style>
  <w:style w:type="paragraph" w:styleId="List3">
    <w:name w:val="List 3"/>
    <w:basedOn w:val="List2"/>
    <w:rsid w:val="00CE752E"/>
    <w:pPr>
      <w:ind w:left="1135"/>
    </w:pPr>
  </w:style>
  <w:style w:type="paragraph" w:styleId="List4">
    <w:name w:val="List 4"/>
    <w:basedOn w:val="List3"/>
    <w:rsid w:val="00CE752E"/>
    <w:pPr>
      <w:ind w:left="1418"/>
    </w:pPr>
  </w:style>
  <w:style w:type="paragraph" w:styleId="List5">
    <w:name w:val="List 5"/>
    <w:basedOn w:val="List4"/>
    <w:rsid w:val="00CE752E"/>
    <w:pPr>
      <w:ind w:left="1702"/>
    </w:pPr>
  </w:style>
  <w:style w:type="paragraph" w:customStyle="1" w:styleId="EditorsNote">
    <w:name w:val="Editor's Note"/>
    <w:basedOn w:val="Normal"/>
    <w:rsid w:val="00CE752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E752E"/>
    <w:pPr>
      <w:numPr>
        <w:numId w:val="8"/>
      </w:numPr>
    </w:pPr>
  </w:style>
  <w:style w:type="paragraph" w:styleId="ListBullet5">
    <w:name w:val="List Bullet 5"/>
    <w:basedOn w:val="ListBullet4"/>
    <w:rsid w:val="00CE752E"/>
    <w:pPr>
      <w:numPr>
        <w:numId w:val="4"/>
      </w:numPr>
    </w:pPr>
  </w:style>
  <w:style w:type="paragraph" w:styleId="Footer">
    <w:name w:val="footer"/>
    <w:basedOn w:val="Header"/>
    <w:semiHidden/>
    <w:rsid w:val="00CE752E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E752E"/>
    <w:pPr>
      <w:numPr>
        <w:numId w:val="2"/>
      </w:numPr>
    </w:pPr>
  </w:style>
  <w:style w:type="paragraph" w:styleId="BalloonText">
    <w:name w:val="Balloon Text"/>
    <w:basedOn w:val="Normal"/>
    <w:semiHidden/>
    <w:rsid w:val="00CE752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E752E"/>
  </w:style>
  <w:style w:type="paragraph" w:styleId="BodyText">
    <w:name w:val="Body Text"/>
    <w:basedOn w:val="Normal"/>
    <w:link w:val="BodyTextChar"/>
    <w:rsid w:val="00CE752E"/>
  </w:style>
  <w:style w:type="character" w:styleId="Hyperlink">
    <w:name w:val="Hyperlink"/>
    <w:uiPriority w:val="99"/>
    <w:rsid w:val="00CE752E"/>
    <w:rPr>
      <w:color w:val="0000FF"/>
      <w:u w:val="single"/>
      <w:lang w:val="en-GB"/>
    </w:rPr>
  </w:style>
  <w:style w:type="character" w:styleId="FollowedHyperlink">
    <w:name w:val="FollowedHyperlink"/>
    <w:semiHidden/>
    <w:rsid w:val="00CE752E"/>
    <w:rPr>
      <w:color w:val="FF0000"/>
      <w:u w:val="single"/>
    </w:rPr>
  </w:style>
  <w:style w:type="character" w:styleId="CommentReference">
    <w:name w:val="annotation reference"/>
    <w:semiHidden/>
    <w:rsid w:val="00CE752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E752E"/>
  </w:style>
  <w:style w:type="paragraph" w:styleId="CommentSubject">
    <w:name w:val="annotation subject"/>
    <w:basedOn w:val="CommentText"/>
    <w:next w:val="CommentText"/>
    <w:semiHidden/>
    <w:rsid w:val="00CE752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752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E752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E752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E752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E752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E752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752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E752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E752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E752E"/>
    <w:pPr>
      <w:spacing w:after="0"/>
    </w:pPr>
  </w:style>
  <w:style w:type="paragraph" w:customStyle="1" w:styleId="TAL">
    <w:name w:val="TAL"/>
    <w:basedOn w:val="Normal"/>
    <w:rsid w:val="00CE752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E752E"/>
    <w:pPr>
      <w:jc w:val="center"/>
    </w:pPr>
  </w:style>
  <w:style w:type="paragraph" w:customStyle="1" w:styleId="TAH">
    <w:name w:val="TAH"/>
    <w:basedOn w:val="TAC"/>
    <w:rsid w:val="00CE752E"/>
    <w:rPr>
      <w:b/>
    </w:rPr>
  </w:style>
  <w:style w:type="paragraph" w:customStyle="1" w:styleId="TAN">
    <w:name w:val="TAN"/>
    <w:basedOn w:val="TAL"/>
    <w:rsid w:val="00CE752E"/>
    <w:pPr>
      <w:ind w:left="851" w:hanging="851"/>
    </w:pPr>
  </w:style>
  <w:style w:type="paragraph" w:customStyle="1" w:styleId="TAR">
    <w:name w:val="TAR"/>
    <w:basedOn w:val="TAL"/>
    <w:rsid w:val="00CE752E"/>
    <w:pPr>
      <w:jc w:val="right"/>
    </w:pPr>
  </w:style>
  <w:style w:type="paragraph" w:customStyle="1" w:styleId="TH">
    <w:name w:val="TH"/>
    <w:basedOn w:val="Normal"/>
    <w:rsid w:val="00CE752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E752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E752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E75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E75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E75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CE75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CE752E"/>
  </w:style>
  <w:style w:type="paragraph" w:customStyle="1" w:styleId="ZH">
    <w:name w:val="ZH"/>
    <w:rsid w:val="00CE75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CE75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E752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E75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E752E"/>
    <w:pPr>
      <w:framePr w:wrap="notBeside" w:y="16161"/>
    </w:pPr>
  </w:style>
  <w:style w:type="paragraph" w:customStyle="1" w:styleId="FP">
    <w:name w:val="FP"/>
    <w:basedOn w:val="Normal"/>
    <w:rsid w:val="00CE752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E752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E752E"/>
    <w:pPr>
      <w:ind w:left="1418" w:hanging="1418"/>
      <w:jc w:val="left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AC3E6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C3E64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  <w:lang w:eastAsia="sv-SE"/>
    </w:rPr>
  </w:style>
  <w:style w:type="character" w:styleId="Emphasis">
    <w:name w:val="Emphasis"/>
    <w:basedOn w:val="DefaultParagraphFont"/>
    <w:uiPriority w:val="20"/>
    <w:qFormat/>
    <w:rsid w:val="000817DE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336ED5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D0444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9A5817"/>
    <w:rPr>
      <w:rFonts w:ascii="Arial" w:hAnsi="Arial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25B29"/>
    <w:rPr>
      <w:rFonts w:ascii="Arial" w:hAnsi="Arial" w:cs="Arial"/>
      <w:sz w:val="28"/>
      <w:szCs w:val="28"/>
      <w:lang w:val="en-GB" w:eastAsia="zh-CN"/>
    </w:rPr>
  </w:style>
  <w:style w:type="paragraph" w:styleId="Revision">
    <w:name w:val="Revision"/>
    <w:hidden/>
    <w:uiPriority w:val="99"/>
    <w:semiHidden/>
    <w:rsid w:val="00B23EE1"/>
    <w:rPr>
      <w:rFonts w:ascii="Arial" w:hAnsi="Arial"/>
      <w:lang w:val="en-GB" w:eastAsia="zh-CN"/>
    </w:rPr>
  </w:style>
  <w:style w:type="paragraph" w:customStyle="1" w:styleId="Default">
    <w:name w:val="Default"/>
    <w:rsid w:val="00DE46BA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3D6327"/>
    <w:pPr>
      <w:overflowPunct/>
      <w:autoSpaceDE/>
      <w:autoSpaceDN/>
      <w:adjustRightInd/>
      <w:spacing w:before="100" w:beforeAutospacing="1" w:after="100" w:afterAutospacing="1"/>
      <w:ind w:left="1440" w:hanging="1440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5NUHHDQN7SK2-1-116621</_dlc_DocId>
    <_dlc_DocIdUrl xmlns="08b2df90-05d3-4030-90d4-c9feeb4a1cd9">
      <Url>https://ericoll.internal.ericsson.com/sites/STAR/_layouts/DocIdRedir.aspx?ID=5NUHHDQN7SK2-1-116621</Url>
      <Description>5NUHHDQN7SK2-1-116621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2712-0903-45F7-98A6-09FE70F29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E7017-FECB-4015-B3B5-15C3D57C346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73EE57-6533-4C01-A137-A4F3FE4597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066E2-70EA-43BA-86AB-7E1CA89E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E1B0EA-21AA-4099-A2D7-619B5D81FDC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AAD64B6-C822-464C-BA06-4EC86F276665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DC8AEE0A-015B-4AA9-851B-1ACE5850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195</TotalTime>
  <Pages>4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7371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Yufei Blankenship</cp:lastModifiedBy>
  <cp:revision>35</cp:revision>
  <cp:lastPrinted>2008-01-31T07:09:00Z</cp:lastPrinted>
  <dcterms:created xsi:type="dcterms:W3CDTF">2017-05-03T12:54:00Z</dcterms:created>
  <dcterms:modified xsi:type="dcterms:W3CDTF">2017-05-07T03:04:00Z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2508b1e0-d0df-4359-89d0-68350b5c900f</vt:lpwstr>
  </property>
</Properties>
</file>